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230278" w:rsidRDefault="00931351" w:rsidP="00FA7761">
      <w:pPr>
        <w:rPr>
          <w:lang w:val="ro-RO"/>
        </w:rPr>
      </w:pPr>
      <w:r>
        <w:rPr>
          <w:lang w:val="ro-RO"/>
        </w:rPr>
        <w:t>Prezentăm în continuare analiza datelor primare ale analizoarelor de calitate montate în stațiile electrice 110KV și posturile de transformare conform tabelelor 4, 5 și 6,  după cum urmează:</w:t>
      </w:r>
    </w:p>
    <w:p w:rsidR="00931351" w:rsidRDefault="00931351" w:rsidP="00FA7761">
      <w:pPr>
        <w:rPr>
          <w:lang w:val="ro-RO"/>
        </w:rPr>
      </w:pPr>
    </w:p>
    <w:p w:rsidR="00931351" w:rsidRDefault="00931351" w:rsidP="00931351">
      <w:pPr>
        <w:pStyle w:val="Heading1"/>
        <w:rPr>
          <w:color w:val="auto"/>
          <w:lang w:val="ro-RO"/>
        </w:rPr>
      </w:pPr>
      <w:r>
        <w:rPr>
          <w:lang w:val="ro-RO"/>
        </w:rPr>
        <w:t xml:space="preserve">1. </w:t>
      </w:r>
      <w:r w:rsidRPr="00931351">
        <w:rPr>
          <w:rFonts w:ascii="Times New Roman" w:hAnsi="Times New Roman" w:cs="Times New Roman"/>
          <w:color w:val="auto"/>
          <w:sz w:val="28"/>
          <w:szCs w:val="28"/>
          <w:lang w:val="ro-RO"/>
        </w:rPr>
        <w:t>Distribuție Energie Electrică Romania</w:t>
      </w:r>
      <w:r w:rsidRPr="00931351">
        <w:rPr>
          <w:color w:val="auto"/>
          <w:lang w:val="ro-RO"/>
        </w:rPr>
        <w:t xml:space="preserve"> </w:t>
      </w:r>
    </w:p>
    <w:p w:rsidR="00931351" w:rsidRPr="00931351" w:rsidRDefault="00931351" w:rsidP="00931351">
      <w:pPr>
        <w:rPr>
          <w:rFonts w:ascii="Times New Roman" w:hAnsi="Times New Roman" w:cs="Times New Roman"/>
          <w:sz w:val="24"/>
          <w:szCs w:val="24"/>
        </w:rPr>
      </w:pPr>
      <w:r w:rsidRPr="00931351">
        <w:t xml:space="preserve"> </w:t>
      </w:r>
      <w:r w:rsidRPr="00931351">
        <w:rPr>
          <w:rFonts w:ascii="Times New Roman" w:hAnsi="Times New Roman" w:cs="Times New Roman"/>
          <w:sz w:val="24"/>
          <w:szCs w:val="24"/>
        </w:rPr>
        <w:t xml:space="preserve">Din totalul de 245 de analizoare montate in statii de transformare, un numar de 162 analizoare au inregistrat intre 1 si 48 saptamani cu abateri din totalul saptamanilor monitorizate in anul 2025, in care conform SR EN 50160 s-a depasit nivelul de flicker. </w:t>
      </w:r>
    </w:p>
    <w:p w:rsidR="00931351" w:rsidRPr="00931351" w:rsidRDefault="00931351" w:rsidP="00931351">
      <w:pPr>
        <w:rPr>
          <w:rFonts w:ascii="Times New Roman" w:hAnsi="Times New Roman" w:cs="Times New Roman"/>
          <w:sz w:val="24"/>
          <w:szCs w:val="24"/>
        </w:rPr>
      </w:pPr>
      <w:r w:rsidRPr="00931351">
        <w:rPr>
          <w:rFonts w:ascii="Times New Roman" w:hAnsi="Times New Roman" w:cs="Times New Roman"/>
          <w:sz w:val="24"/>
          <w:szCs w:val="24"/>
        </w:rPr>
        <w:t xml:space="preserve">In urma analizei nivelul ridicat de flicker din statiile de transformare monitorizate, a rezultat ca acesta este cauzat in special de utilizatorii racordati pe barele statiilor de MT care, prin procesele tehnologice specifice, creaza perturbatii in reteaua de distributie. De asemenea, conditiile meteo deosebite, cu vant puternic, furtuna, descarcari electrice dar si actiunile pasarilor si vegetatiei care determina defecte cu caracter trecator si permanent, eliminate de protectiile de pe liniile aeriene si de functionarea automatizarilor RAR, au provocat in anul 2025 multiple variatii rapide de tensiune, generand corespunzator fenomenul de flicker. Mentionam ca au fost afectate preponderent liniile electrice aeriene de MT si IT. </w:t>
      </w:r>
    </w:p>
    <w:p w:rsidR="00931351" w:rsidRPr="00931351" w:rsidRDefault="00931351" w:rsidP="00931351">
      <w:pPr>
        <w:rPr>
          <w:rFonts w:ascii="Times New Roman" w:hAnsi="Times New Roman" w:cs="Times New Roman"/>
          <w:sz w:val="24"/>
          <w:szCs w:val="24"/>
        </w:rPr>
      </w:pPr>
      <w:r w:rsidRPr="00931351">
        <w:rPr>
          <w:rFonts w:ascii="Times New Roman" w:hAnsi="Times New Roman" w:cs="Times New Roman"/>
          <w:sz w:val="24"/>
          <w:szCs w:val="24"/>
        </w:rPr>
        <w:t xml:space="preserve">Intreruperile in alimentarea cu energie electrica </w:t>
      </w:r>
      <w:proofErr w:type="gramStart"/>
      <w:r w:rsidRPr="00931351">
        <w:rPr>
          <w:rFonts w:ascii="Times New Roman" w:hAnsi="Times New Roman" w:cs="Times New Roman"/>
          <w:sz w:val="24"/>
          <w:szCs w:val="24"/>
        </w:rPr>
        <w:t>a</w:t>
      </w:r>
      <w:proofErr w:type="gramEnd"/>
      <w:r w:rsidRPr="00931351">
        <w:rPr>
          <w:rFonts w:ascii="Times New Roman" w:hAnsi="Times New Roman" w:cs="Times New Roman"/>
          <w:sz w:val="24"/>
          <w:szCs w:val="24"/>
        </w:rPr>
        <w:t xml:space="preserve"> instalatiilor de distributie se consemneaza la nivel DEER in fisiele de incident si deranjament, constituind date de intrare pentru prioritizarea lucrarilor din programele de mentenanta si investitii. </w:t>
      </w:r>
    </w:p>
    <w:p w:rsidR="00931351" w:rsidRPr="00931351" w:rsidRDefault="00931351" w:rsidP="00931351">
      <w:pPr>
        <w:rPr>
          <w:rFonts w:ascii="Times New Roman" w:hAnsi="Times New Roman" w:cs="Times New Roman"/>
          <w:sz w:val="24"/>
          <w:szCs w:val="24"/>
        </w:rPr>
      </w:pPr>
      <w:r w:rsidRPr="00931351">
        <w:rPr>
          <w:rFonts w:ascii="Times New Roman" w:hAnsi="Times New Roman" w:cs="Times New Roman"/>
          <w:sz w:val="24"/>
          <w:szCs w:val="24"/>
        </w:rPr>
        <w:t xml:space="preserve">La nivel DEER, semestrial se realizeaza o analiza detaliata privind indicatorii de performanta, stabilind masuri adecvate: operative, organizationale, propuneri de lucrari de mentenanta sau investitii, pentru imbunatatirea calitatii energiei electrice. </w:t>
      </w:r>
    </w:p>
    <w:p w:rsidR="00931351" w:rsidRDefault="00931351" w:rsidP="00931351">
      <w:pPr>
        <w:rPr>
          <w:rFonts w:ascii="Times New Roman" w:hAnsi="Times New Roman" w:cs="Times New Roman"/>
          <w:sz w:val="24"/>
          <w:szCs w:val="24"/>
        </w:rPr>
      </w:pPr>
      <w:r w:rsidRPr="00931351">
        <w:rPr>
          <w:rFonts w:ascii="Times New Roman" w:hAnsi="Times New Roman" w:cs="Times New Roman"/>
          <w:sz w:val="24"/>
          <w:szCs w:val="24"/>
        </w:rPr>
        <w:t xml:space="preserve">La nivel DEER, pentru monitorizarea calitatii energieie electrice in statiile si posturile de transformare prin analizoare de calitate a energiei sunt utilizate urmatoarele sisteme de </w:t>
      </w:r>
      <w:proofErr w:type="gramStart"/>
      <w:r w:rsidRPr="00931351">
        <w:rPr>
          <w:rFonts w:ascii="Times New Roman" w:hAnsi="Times New Roman" w:cs="Times New Roman"/>
          <w:sz w:val="24"/>
          <w:szCs w:val="24"/>
        </w:rPr>
        <w:t>monitorizare :</w:t>
      </w:r>
      <w:proofErr w:type="gramEnd"/>
      <w:r w:rsidRPr="00931351">
        <w:rPr>
          <w:rFonts w:ascii="Times New Roman" w:hAnsi="Times New Roman" w:cs="Times New Roman"/>
          <w:sz w:val="24"/>
          <w:szCs w:val="24"/>
        </w:rPr>
        <w:t xml:space="preserve">  Encore (Dranetz),WinPQ (Eberle), PME (Schneider). </w:t>
      </w:r>
    </w:p>
    <w:p w:rsidR="00931351" w:rsidRDefault="00931351" w:rsidP="00931351">
      <w:pPr>
        <w:rPr>
          <w:rFonts w:ascii="Times New Roman" w:hAnsi="Times New Roman" w:cs="Times New Roman"/>
          <w:sz w:val="24"/>
          <w:szCs w:val="24"/>
        </w:rPr>
      </w:pPr>
      <w:r w:rsidRPr="00931351">
        <w:rPr>
          <w:rFonts w:ascii="Times New Roman" w:hAnsi="Times New Roman" w:cs="Times New Roman"/>
          <w:sz w:val="24"/>
          <w:szCs w:val="24"/>
        </w:rPr>
        <w:t xml:space="preserve">De asemenea, </w:t>
      </w:r>
      <w:r>
        <w:rPr>
          <w:rFonts w:ascii="Times New Roman" w:hAnsi="Times New Roman" w:cs="Times New Roman"/>
          <w:sz w:val="24"/>
          <w:szCs w:val="24"/>
        </w:rPr>
        <w:t>î</w:t>
      </w:r>
      <w:r w:rsidRPr="00931351">
        <w:rPr>
          <w:rFonts w:ascii="Times New Roman" w:hAnsi="Times New Roman" w:cs="Times New Roman"/>
          <w:sz w:val="24"/>
          <w:szCs w:val="24"/>
        </w:rPr>
        <w:t>n urma reclama</w:t>
      </w:r>
      <w:r>
        <w:rPr>
          <w:rFonts w:ascii="Times New Roman" w:hAnsi="Times New Roman" w:cs="Times New Roman"/>
          <w:sz w:val="24"/>
          <w:szCs w:val="24"/>
        </w:rPr>
        <w:t>ț</w:t>
      </w:r>
      <w:r w:rsidRPr="00931351">
        <w:rPr>
          <w:rFonts w:ascii="Times New Roman" w:hAnsi="Times New Roman" w:cs="Times New Roman"/>
          <w:sz w:val="24"/>
          <w:szCs w:val="24"/>
        </w:rPr>
        <w:t>iilor privind nivelul tensiunii, se monteaz</w:t>
      </w:r>
      <w:r>
        <w:rPr>
          <w:rFonts w:ascii="Times New Roman" w:hAnsi="Times New Roman" w:cs="Times New Roman"/>
          <w:sz w:val="24"/>
          <w:szCs w:val="24"/>
        </w:rPr>
        <w:t>ă</w:t>
      </w:r>
      <w:r w:rsidRPr="00931351">
        <w:rPr>
          <w:rFonts w:ascii="Times New Roman" w:hAnsi="Times New Roman" w:cs="Times New Roman"/>
          <w:sz w:val="24"/>
          <w:szCs w:val="24"/>
        </w:rPr>
        <w:t xml:space="preserve"> analizoare portabile </w:t>
      </w:r>
      <w:r>
        <w:rPr>
          <w:rFonts w:ascii="Times New Roman" w:hAnsi="Times New Roman" w:cs="Times New Roman"/>
          <w:sz w:val="24"/>
          <w:szCs w:val="24"/>
        </w:rPr>
        <w:t>î</w:t>
      </w:r>
      <w:r w:rsidRPr="00931351">
        <w:rPr>
          <w:rFonts w:ascii="Times New Roman" w:hAnsi="Times New Roman" w:cs="Times New Roman"/>
          <w:sz w:val="24"/>
          <w:szCs w:val="24"/>
        </w:rPr>
        <w:t xml:space="preserve">n PCC </w:t>
      </w:r>
      <w:r>
        <w:rPr>
          <w:rFonts w:ascii="Times New Roman" w:hAnsi="Times New Roman" w:cs="Times New Roman"/>
          <w:sz w:val="24"/>
          <w:szCs w:val="24"/>
        </w:rPr>
        <w:t>î</w:t>
      </w:r>
      <w:r w:rsidRPr="00931351">
        <w:rPr>
          <w:rFonts w:ascii="Times New Roman" w:hAnsi="Times New Roman" w:cs="Times New Roman"/>
          <w:sz w:val="24"/>
          <w:szCs w:val="24"/>
        </w:rPr>
        <w:t>n vederea analizei situa</w:t>
      </w:r>
      <w:r>
        <w:rPr>
          <w:rFonts w:ascii="Times New Roman" w:hAnsi="Times New Roman" w:cs="Times New Roman"/>
          <w:sz w:val="24"/>
          <w:szCs w:val="24"/>
        </w:rPr>
        <w:t>ț</w:t>
      </w:r>
      <w:r w:rsidRPr="00931351">
        <w:rPr>
          <w:rFonts w:ascii="Times New Roman" w:hAnsi="Times New Roman" w:cs="Times New Roman"/>
          <w:sz w:val="24"/>
          <w:szCs w:val="24"/>
        </w:rPr>
        <w:t xml:space="preserve">iilor, si stabilirea solutiilor de </w:t>
      </w:r>
      <w:proofErr w:type="gramStart"/>
      <w:r w:rsidRPr="00931351">
        <w:rPr>
          <w:rFonts w:ascii="Times New Roman" w:hAnsi="Times New Roman" w:cs="Times New Roman"/>
          <w:sz w:val="24"/>
          <w:szCs w:val="24"/>
        </w:rPr>
        <w:t xml:space="preserve">corectie </w:t>
      </w:r>
      <w:r>
        <w:rPr>
          <w:rFonts w:ascii="Times New Roman" w:hAnsi="Times New Roman" w:cs="Times New Roman"/>
          <w:sz w:val="24"/>
          <w:szCs w:val="24"/>
        </w:rPr>
        <w:t>.</w:t>
      </w:r>
      <w:proofErr w:type="gramEnd"/>
    </w:p>
    <w:p w:rsidR="00931351" w:rsidRPr="00931351" w:rsidRDefault="00931351" w:rsidP="00931351">
      <w:pPr>
        <w:rPr>
          <w:rFonts w:ascii="Times New Roman" w:hAnsi="Times New Roman" w:cs="Times New Roman"/>
          <w:sz w:val="24"/>
          <w:szCs w:val="24"/>
        </w:rPr>
      </w:pPr>
      <w:r>
        <w:rPr>
          <w:rFonts w:ascii="Times New Roman" w:hAnsi="Times New Roman" w:cs="Times New Roman"/>
          <w:sz w:val="24"/>
          <w:szCs w:val="24"/>
        </w:rPr>
        <w:t>Rezultatele monitorizării:</w:t>
      </w:r>
    </w:p>
    <w:p w:rsidR="00931351" w:rsidRPr="00931351" w:rsidRDefault="00931351" w:rsidP="00931351">
      <w:pPr>
        <w:pStyle w:val="ListParagraph"/>
        <w:numPr>
          <w:ilvl w:val="0"/>
          <w:numId w:val="4"/>
        </w:numPr>
        <w:rPr>
          <w:rFonts w:ascii="Times New Roman" w:hAnsi="Times New Roman" w:cs="Times New Roman"/>
          <w:sz w:val="24"/>
          <w:szCs w:val="24"/>
        </w:rPr>
      </w:pPr>
      <w:r w:rsidRPr="00931351">
        <w:rPr>
          <w:rFonts w:ascii="Times New Roman" w:hAnsi="Times New Roman" w:cs="Times New Roman"/>
          <w:b/>
          <w:bCs/>
          <w:sz w:val="24"/>
          <w:szCs w:val="24"/>
        </w:rPr>
        <w:t xml:space="preserve">PME (Schneider) </w:t>
      </w:r>
    </w:p>
    <w:p w:rsidR="00931351" w:rsidRPr="00931351" w:rsidRDefault="00931351" w:rsidP="00931351">
      <w:pPr>
        <w:rPr>
          <w:rFonts w:ascii="Times New Roman" w:hAnsi="Times New Roman" w:cs="Times New Roman"/>
          <w:sz w:val="24"/>
          <w:szCs w:val="24"/>
        </w:rPr>
      </w:pPr>
      <w:r w:rsidRPr="00931351">
        <w:rPr>
          <w:rFonts w:ascii="Times New Roman" w:hAnsi="Times New Roman" w:cs="Times New Roman"/>
          <w:sz w:val="24"/>
          <w:szCs w:val="24"/>
        </w:rPr>
        <w:t xml:space="preserve">S-au înregistrat depășiri ale limitelor normate de variație a tensiunii pentru un număr de 65 stații electrice, un număr intre 1 si 47 săptămâni. Cele mai afectate statii, cu peste 40 de saptamani in care s-a depasit nivelul de variație a tensiunii au fost stațiile Aricesti, Valeni, si Ulmi. </w:t>
      </w:r>
    </w:p>
    <w:p w:rsidR="00931351" w:rsidRPr="00931351" w:rsidRDefault="00931351" w:rsidP="00931351">
      <w:pPr>
        <w:rPr>
          <w:rFonts w:ascii="Times New Roman" w:hAnsi="Times New Roman" w:cs="Times New Roman"/>
          <w:sz w:val="24"/>
          <w:szCs w:val="24"/>
        </w:rPr>
      </w:pPr>
      <w:r w:rsidRPr="00931351">
        <w:rPr>
          <w:rFonts w:ascii="Times New Roman" w:hAnsi="Times New Roman" w:cs="Times New Roman"/>
          <w:sz w:val="24"/>
          <w:szCs w:val="24"/>
        </w:rPr>
        <w:t xml:space="preserve">De asemenea depășirea valorii normate de flicker pe termen lung s-a realizat întrun număr de 28 stații electrice, din care menționăm stațiile Floresti (48/48 săptămâni) Buzău Sud (43/48 săptămâni), Campina (44/44 săptămâni). </w:t>
      </w:r>
    </w:p>
    <w:p w:rsidR="00931351" w:rsidRPr="00931351" w:rsidRDefault="00931351" w:rsidP="00931351">
      <w:pPr>
        <w:pStyle w:val="ListParagraph"/>
        <w:numPr>
          <w:ilvl w:val="0"/>
          <w:numId w:val="4"/>
        </w:numPr>
        <w:rPr>
          <w:rFonts w:ascii="Times New Roman" w:hAnsi="Times New Roman" w:cs="Times New Roman"/>
          <w:sz w:val="24"/>
          <w:szCs w:val="24"/>
        </w:rPr>
      </w:pPr>
      <w:r w:rsidRPr="00931351">
        <w:rPr>
          <w:rFonts w:ascii="Times New Roman" w:hAnsi="Times New Roman" w:cs="Times New Roman"/>
          <w:b/>
          <w:bCs/>
          <w:sz w:val="24"/>
          <w:szCs w:val="24"/>
        </w:rPr>
        <w:t xml:space="preserve">WinPQ (Eberle) </w:t>
      </w:r>
    </w:p>
    <w:p w:rsidR="00931351" w:rsidRPr="00931351" w:rsidRDefault="00931351" w:rsidP="00931351">
      <w:pPr>
        <w:rPr>
          <w:rFonts w:ascii="Times New Roman" w:hAnsi="Times New Roman" w:cs="Times New Roman"/>
          <w:sz w:val="24"/>
          <w:szCs w:val="24"/>
        </w:rPr>
      </w:pPr>
      <w:r w:rsidRPr="00931351">
        <w:rPr>
          <w:rFonts w:ascii="Times New Roman" w:hAnsi="Times New Roman" w:cs="Times New Roman"/>
          <w:sz w:val="24"/>
          <w:szCs w:val="24"/>
        </w:rPr>
        <w:lastRenderedPageBreak/>
        <w:t xml:space="preserve">S-au înregistrat depășiri ale limitelor normale de variație a tensiunii în anul 2025 in statia 110-20kV Tauni, pentru 2 saptamani la o valoare de 111%Un. </w:t>
      </w:r>
    </w:p>
    <w:p w:rsidR="00931351" w:rsidRPr="00931351" w:rsidRDefault="00931351" w:rsidP="00931351">
      <w:pPr>
        <w:rPr>
          <w:rFonts w:ascii="Times New Roman" w:hAnsi="Times New Roman" w:cs="Times New Roman"/>
          <w:sz w:val="24"/>
          <w:szCs w:val="24"/>
        </w:rPr>
      </w:pPr>
      <w:r w:rsidRPr="00931351">
        <w:rPr>
          <w:rFonts w:ascii="Times New Roman" w:hAnsi="Times New Roman" w:cs="Times New Roman"/>
          <w:sz w:val="24"/>
          <w:szCs w:val="24"/>
        </w:rPr>
        <w:t xml:space="preserve">Depășirea valorii normale de flicker pe termen lung, s-a realizat în 55 de statii monitorizate pentru durate intre 1 si 12 săptămâni in anul 2025, cu un număr maxim înregistrat la stațiile Campeni si Gura Rosiei cu 12 respectiv 10saptamani din 52 săptămâni monitorizate. </w:t>
      </w:r>
    </w:p>
    <w:p w:rsidR="00931351" w:rsidRPr="00931351" w:rsidRDefault="00931351" w:rsidP="00931351">
      <w:pPr>
        <w:pStyle w:val="ListParagraph"/>
        <w:numPr>
          <w:ilvl w:val="0"/>
          <w:numId w:val="4"/>
        </w:numPr>
        <w:rPr>
          <w:rFonts w:ascii="Times New Roman" w:hAnsi="Times New Roman" w:cs="Times New Roman"/>
          <w:sz w:val="24"/>
          <w:szCs w:val="24"/>
        </w:rPr>
      </w:pPr>
      <w:r w:rsidRPr="00931351">
        <w:rPr>
          <w:rFonts w:ascii="Times New Roman" w:hAnsi="Times New Roman" w:cs="Times New Roman"/>
          <w:b/>
          <w:bCs/>
          <w:sz w:val="24"/>
          <w:szCs w:val="24"/>
        </w:rPr>
        <w:t xml:space="preserve">Encore (Dranetz) </w:t>
      </w:r>
    </w:p>
    <w:p w:rsidR="00931351" w:rsidRPr="00931351" w:rsidRDefault="00931351" w:rsidP="00931351">
      <w:pPr>
        <w:rPr>
          <w:rFonts w:ascii="Times New Roman" w:hAnsi="Times New Roman" w:cs="Times New Roman"/>
          <w:sz w:val="24"/>
          <w:szCs w:val="24"/>
        </w:rPr>
      </w:pPr>
      <w:r w:rsidRPr="00931351">
        <w:rPr>
          <w:rFonts w:ascii="Times New Roman" w:hAnsi="Times New Roman" w:cs="Times New Roman"/>
          <w:sz w:val="24"/>
          <w:szCs w:val="24"/>
        </w:rPr>
        <w:t xml:space="preserve">S-au înregistrat depășiri ale limitelor normale de variație a tensiunii în stația CEF 110kV Ciuperceni (la producatori) pentru 52 saptamani, Beius, Sighet si Sasar cate 1 saptamana, </w:t>
      </w:r>
    </w:p>
    <w:p w:rsidR="00931351" w:rsidRPr="00931351" w:rsidRDefault="00931351" w:rsidP="00931351">
      <w:pPr>
        <w:rPr>
          <w:rFonts w:ascii="Times New Roman" w:hAnsi="Times New Roman" w:cs="Times New Roman"/>
          <w:sz w:val="24"/>
          <w:szCs w:val="24"/>
        </w:rPr>
      </w:pPr>
      <w:r w:rsidRPr="00931351">
        <w:rPr>
          <w:rFonts w:ascii="Times New Roman" w:hAnsi="Times New Roman" w:cs="Times New Roman"/>
          <w:sz w:val="24"/>
          <w:szCs w:val="24"/>
        </w:rPr>
        <w:t xml:space="preserve">De asemenea depășirea valorii normate de flicker pe termen lung s-a inregistrat întrun număr de 30 stații electrice, din care menționăm stațiile Beclean (18 săptămâni), Jucu (6 săptămâni), Prundu Bargaului si Lechinta (cate 4 săptămâni). </w:t>
      </w:r>
    </w:p>
    <w:p w:rsidR="00931351" w:rsidRPr="00931351" w:rsidRDefault="003C1FDD" w:rsidP="003C1FDD">
      <w:pPr>
        <w:pStyle w:val="Heading2"/>
      </w:pPr>
      <w:r>
        <w:t xml:space="preserve">1.1. </w:t>
      </w:r>
      <w:r w:rsidR="00931351" w:rsidRPr="00931351">
        <w:t xml:space="preserve">Monitorizarae Nivelului de flicker - exemple </w:t>
      </w:r>
    </w:p>
    <w:p w:rsidR="00931351" w:rsidRPr="00931351" w:rsidRDefault="00931351" w:rsidP="00931351">
      <w:pPr>
        <w:rPr>
          <w:rFonts w:ascii="Times New Roman" w:hAnsi="Times New Roman" w:cs="Times New Roman"/>
          <w:sz w:val="24"/>
          <w:szCs w:val="24"/>
        </w:rPr>
      </w:pPr>
      <w:r w:rsidRPr="00931351">
        <w:rPr>
          <w:rFonts w:ascii="Times New Roman" w:hAnsi="Times New Roman" w:cs="Times New Roman"/>
          <w:b/>
          <w:bCs/>
          <w:sz w:val="24"/>
          <w:szCs w:val="24"/>
        </w:rPr>
        <w:t xml:space="preserve">Statia Beclean </w:t>
      </w:r>
      <w:r w:rsidRPr="00931351">
        <w:rPr>
          <w:rFonts w:ascii="Times New Roman" w:hAnsi="Times New Roman" w:cs="Times New Roman"/>
          <w:sz w:val="24"/>
          <w:szCs w:val="24"/>
        </w:rPr>
        <w:t xml:space="preserve">– depasairea nivelului de flicker pe termen lung Plt, se datoreaza unor anumite regimuri de functionare cu fluctuatii mari de putere, a unei societati racordata in reteaua de MT alimentata din statia Beclean, care produce plasa metalica sudata. De la ultima notificare din partea DEER (anul 2025) depasirea saptamanala a nivelului de flicker s-a produs doar ocazional, utilizatorul luand masuri interne in procesul tehnologic. </w:t>
      </w:r>
    </w:p>
    <w:p w:rsidR="00931351" w:rsidRPr="00931351" w:rsidRDefault="00931351" w:rsidP="00931351">
      <w:pPr>
        <w:rPr>
          <w:rFonts w:ascii="Times New Roman" w:hAnsi="Times New Roman" w:cs="Times New Roman"/>
          <w:sz w:val="24"/>
          <w:szCs w:val="24"/>
        </w:rPr>
      </w:pPr>
      <w:r w:rsidRPr="00931351">
        <w:rPr>
          <w:rFonts w:ascii="Times New Roman" w:hAnsi="Times New Roman" w:cs="Times New Roman"/>
          <w:sz w:val="24"/>
          <w:szCs w:val="24"/>
        </w:rPr>
        <w:t xml:space="preserve">Tot in statia Beclean au fost inregistrate mai multe evenimente pe LES 20kV Beclean – Distribuitor 2. In urma acestor evenimente s-au realizat operativ lucrari de reparatii. </w:t>
      </w:r>
    </w:p>
    <w:p w:rsidR="00931351" w:rsidRPr="00931351" w:rsidRDefault="00931351" w:rsidP="00931351">
      <w:pPr>
        <w:rPr>
          <w:rFonts w:ascii="Times New Roman" w:hAnsi="Times New Roman" w:cs="Times New Roman"/>
          <w:sz w:val="24"/>
          <w:szCs w:val="24"/>
        </w:rPr>
      </w:pPr>
      <w:r w:rsidRPr="00931351">
        <w:rPr>
          <w:rFonts w:ascii="Times New Roman" w:hAnsi="Times New Roman" w:cs="Times New Roman"/>
          <w:b/>
          <w:bCs/>
          <w:sz w:val="24"/>
          <w:szCs w:val="24"/>
        </w:rPr>
        <w:t xml:space="preserve">Statia Buzău Sud </w:t>
      </w:r>
      <w:r w:rsidRPr="00931351">
        <w:rPr>
          <w:rFonts w:ascii="Times New Roman" w:hAnsi="Times New Roman" w:cs="Times New Roman"/>
          <w:sz w:val="24"/>
          <w:szCs w:val="24"/>
        </w:rPr>
        <w:t xml:space="preserve">- depasairea nivelului de flicker pe termen lung Plt, se datoreaza unor regimuri de functionare a unui utilizator racordat la reteaua de MT alimentata din statia </w:t>
      </w:r>
      <w:r w:rsidRPr="00931351">
        <w:rPr>
          <w:rFonts w:ascii="Times New Roman" w:hAnsi="Times New Roman" w:cs="Times New Roman"/>
          <w:b/>
          <w:bCs/>
          <w:sz w:val="24"/>
          <w:szCs w:val="24"/>
        </w:rPr>
        <w:t>Buzău Sud</w:t>
      </w:r>
      <w:r w:rsidRPr="00931351">
        <w:rPr>
          <w:rFonts w:ascii="Times New Roman" w:hAnsi="Times New Roman" w:cs="Times New Roman"/>
          <w:sz w:val="24"/>
          <w:szCs w:val="24"/>
        </w:rPr>
        <w:t xml:space="preserve">, care produce pulberi metalice. </w:t>
      </w:r>
    </w:p>
    <w:p w:rsidR="00931351" w:rsidRPr="00931351" w:rsidRDefault="00931351" w:rsidP="00931351">
      <w:pPr>
        <w:rPr>
          <w:rFonts w:ascii="Times New Roman" w:hAnsi="Times New Roman" w:cs="Times New Roman"/>
          <w:sz w:val="24"/>
          <w:szCs w:val="24"/>
        </w:rPr>
      </w:pPr>
      <w:r w:rsidRPr="00931351">
        <w:rPr>
          <w:rFonts w:ascii="Times New Roman" w:hAnsi="Times New Roman" w:cs="Times New Roman"/>
          <w:b/>
          <w:bCs/>
          <w:sz w:val="24"/>
          <w:szCs w:val="24"/>
        </w:rPr>
        <w:t xml:space="preserve">Statia Campeni - </w:t>
      </w:r>
      <w:r w:rsidRPr="00931351">
        <w:rPr>
          <w:rFonts w:ascii="Times New Roman" w:hAnsi="Times New Roman" w:cs="Times New Roman"/>
          <w:sz w:val="24"/>
          <w:szCs w:val="24"/>
        </w:rPr>
        <w:t xml:space="preserve">depasairea nivelului de flicker pe termen lung Plt, se datoreaza in special multiplelor defecte cu caracter trecator si permanent in reteaua de MT alimentata din aceasta statie. Liniile de MT traverseaza zone de munte, impadurite cu acces dificil, in special in conditii meteo deosebite. In zona se intevine operativ pentru remedierea defectelor, se realizeaza lucrari de reglementare a culularului LEA in zonele cu vegetatie. </w:t>
      </w:r>
    </w:p>
    <w:p w:rsidR="00931351" w:rsidRPr="00931351" w:rsidRDefault="003C1FDD" w:rsidP="003C1FDD">
      <w:pPr>
        <w:pStyle w:val="Heading2"/>
      </w:pPr>
      <w:r>
        <w:t xml:space="preserve">1.2. </w:t>
      </w:r>
      <w:r w:rsidR="00931351" w:rsidRPr="00931351">
        <w:t xml:space="preserve">Monitorizarea nivelului de tensiune IT </w:t>
      </w:r>
    </w:p>
    <w:p w:rsidR="00931351" w:rsidRPr="00931351" w:rsidRDefault="00931351" w:rsidP="00931351">
      <w:pPr>
        <w:rPr>
          <w:rFonts w:ascii="Times New Roman" w:hAnsi="Times New Roman" w:cs="Times New Roman"/>
          <w:sz w:val="24"/>
          <w:szCs w:val="24"/>
        </w:rPr>
      </w:pPr>
      <w:r w:rsidRPr="00931351">
        <w:rPr>
          <w:rFonts w:ascii="Times New Roman" w:hAnsi="Times New Roman" w:cs="Times New Roman"/>
          <w:sz w:val="24"/>
          <w:szCs w:val="24"/>
        </w:rPr>
        <w:t>In anul 2024 a fost elaborat “</w:t>
      </w:r>
      <w:r w:rsidRPr="00931351">
        <w:rPr>
          <w:rFonts w:ascii="Times New Roman" w:hAnsi="Times New Roman" w:cs="Times New Roman"/>
          <w:b/>
          <w:bCs/>
          <w:sz w:val="24"/>
          <w:szCs w:val="24"/>
        </w:rPr>
        <w:t>Studiul de Sistem privind menținerea nivelului de tensiune în banda economică de funcționare în RED 110 kV și optimizarea fluxurilor de energie reactiva între RET și RED 110 kV din zona geografică de rețea a DEER”</w:t>
      </w:r>
      <w:r w:rsidRPr="00931351">
        <w:rPr>
          <w:rFonts w:ascii="Times New Roman" w:hAnsi="Times New Roman" w:cs="Times New Roman"/>
          <w:sz w:val="24"/>
          <w:szCs w:val="24"/>
        </w:rPr>
        <w:t xml:space="preserve">, avizat in anul 2025 la Transelectrica. 3 </w:t>
      </w:r>
    </w:p>
    <w:p w:rsidR="00931351" w:rsidRPr="00931351" w:rsidRDefault="00931351" w:rsidP="00931351">
      <w:pPr>
        <w:rPr>
          <w:rFonts w:ascii="Times New Roman" w:hAnsi="Times New Roman" w:cs="Times New Roman"/>
          <w:sz w:val="24"/>
          <w:szCs w:val="24"/>
        </w:rPr>
      </w:pPr>
      <w:r w:rsidRPr="00931351">
        <w:rPr>
          <w:rFonts w:ascii="Times New Roman" w:hAnsi="Times New Roman" w:cs="Times New Roman"/>
          <w:sz w:val="24"/>
          <w:szCs w:val="24"/>
        </w:rPr>
        <w:t xml:space="preserve">Studiul cuprinde: </w:t>
      </w:r>
    </w:p>
    <w:p w:rsidR="00931351" w:rsidRPr="003C1FDD" w:rsidRDefault="00931351" w:rsidP="003C1FDD">
      <w:pPr>
        <w:pStyle w:val="ListParagraph"/>
        <w:numPr>
          <w:ilvl w:val="0"/>
          <w:numId w:val="4"/>
        </w:numPr>
        <w:rPr>
          <w:rFonts w:ascii="Times New Roman" w:hAnsi="Times New Roman" w:cs="Times New Roman"/>
          <w:sz w:val="24"/>
          <w:szCs w:val="24"/>
        </w:rPr>
      </w:pPr>
      <w:r w:rsidRPr="003C1FDD">
        <w:rPr>
          <w:rFonts w:ascii="Times New Roman" w:hAnsi="Times New Roman" w:cs="Times New Roman"/>
          <w:sz w:val="24"/>
          <w:szCs w:val="24"/>
        </w:rPr>
        <w:t xml:space="preserve">analiza situației existente reale privind nivelurile de tensiune și schimbul de puterereactivă între RET și RED 110 kV, între RED 110 kV din portofoliul DEER și RED vecine, respectiv între rețelele electrice de 110 kV și cele de Medie Tensiune; această analiză va scoate în evidență și influenta prosumatorilor. </w:t>
      </w:r>
    </w:p>
    <w:p w:rsidR="00931351" w:rsidRPr="003C1FDD" w:rsidRDefault="00931351" w:rsidP="00CC24B5">
      <w:pPr>
        <w:pStyle w:val="ListParagraph"/>
        <w:numPr>
          <w:ilvl w:val="0"/>
          <w:numId w:val="4"/>
        </w:numPr>
        <w:rPr>
          <w:rFonts w:ascii="Times New Roman" w:hAnsi="Times New Roman" w:cs="Times New Roman"/>
          <w:sz w:val="24"/>
          <w:szCs w:val="24"/>
        </w:rPr>
      </w:pPr>
      <w:r w:rsidRPr="003C1FDD">
        <w:rPr>
          <w:rFonts w:ascii="Times New Roman" w:hAnsi="Times New Roman" w:cs="Times New Roman"/>
          <w:sz w:val="24"/>
          <w:szCs w:val="24"/>
        </w:rPr>
        <w:lastRenderedPageBreak/>
        <w:t xml:space="preserve">identificarea soluțiilor de optimizare a fluxurilor de energie reactivă la nivelul fiecărui punct de delimitare privind: </w:t>
      </w:r>
      <w:r w:rsidR="003C1FDD" w:rsidRPr="003C1FDD">
        <w:rPr>
          <w:rFonts w:ascii="Times New Roman" w:hAnsi="Times New Roman" w:cs="Times New Roman"/>
          <w:sz w:val="24"/>
          <w:szCs w:val="24"/>
        </w:rPr>
        <w:t xml:space="preserve"> </w:t>
      </w:r>
      <w:r w:rsidRPr="003C1FDD">
        <w:rPr>
          <w:rFonts w:ascii="Times New Roman" w:hAnsi="Times New Roman" w:cs="Times New Roman"/>
          <w:sz w:val="24"/>
          <w:szCs w:val="24"/>
        </w:rPr>
        <w:t xml:space="preserve">măsurile operative care trebuie </w:t>
      </w:r>
      <w:proofErr w:type="gramStart"/>
      <w:r w:rsidRPr="003C1FDD">
        <w:rPr>
          <w:rFonts w:ascii="Times New Roman" w:hAnsi="Times New Roman" w:cs="Times New Roman"/>
          <w:sz w:val="24"/>
          <w:szCs w:val="24"/>
        </w:rPr>
        <w:t>implementate,  echipamente</w:t>
      </w:r>
      <w:proofErr w:type="gramEnd"/>
      <w:r w:rsidRPr="003C1FDD">
        <w:rPr>
          <w:rFonts w:ascii="Times New Roman" w:hAnsi="Times New Roman" w:cs="Times New Roman"/>
          <w:sz w:val="24"/>
          <w:szCs w:val="24"/>
        </w:rPr>
        <w:t xml:space="preserve"> suplimentare necesare în RED și/sau în RET</w:t>
      </w:r>
      <w:r w:rsidR="003C1FDD">
        <w:rPr>
          <w:rFonts w:ascii="Times New Roman" w:hAnsi="Times New Roman" w:cs="Times New Roman"/>
          <w:sz w:val="24"/>
          <w:szCs w:val="24"/>
        </w:rPr>
        <w:t xml:space="preserve"> și</w:t>
      </w:r>
      <w:r w:rsidRPr="003C1FDD">
        <w:rPr>
          <w:rFonts w:ascii="Times New Roman" w:hAnsi="Times New Roman" w:cs="Times New Roman"/>
          <w:sz w:val="24"/>
          <w:szCs w:val="24"/>
        </w:rPr>
        <w:t xml:space="preserve"> amplasarea optimă a acestor echipamente. </w:t>
      </w:r>
    </w:p>
    <w:p w:rsidR="00931351" w:rsidRPr="003C1FDD" w:rsidRDefault="00931351" w:rsidP="003C1FDD">
      <w:pPr>
        <w:pStyle w:val="ListParagraph"/>
        <w:numPr>
          <w:ilvl w:val="0"/>
          <w:numId w:val="4"/>
        </w:numPr>
        <w:rPr>
          <w:rFonts w:ascii="Times New Roman" w:hAnsi="Times New Roman" w:cs="Times New Roman"/>
          <w:sz w:val="24"/>
          <w:szCs w:val="24"/>
        </w:rPr>
      </w:pPr>
      <w:r w:rsidRPr="003C1FDD">
        <w:rPr>
          <w:rFonts w:ascii="Times New Roman" w:hAnsi="Times New Roman" w:cs="Times New Roman"/>
          <w:sz w:val="24"/>
          <w:szCs w:val="24"/>
        </w:rPr>
        <w:t xml:space="preserve">evaluarea efectelor economice ale aplicării soluțiilor identificate. </w:t>
      </w:r>
    </w:p>
    <w:p w:rsidR="00931351" w:rsidRPr="00931351" w:rsidRDefault="00931351" w:rsidP="00931351">
      <w:pPr>
        <w:rPr>
          <w:rFonts w:ascii="Times New Roman" w:hAnsi="Times New Roman" w:cs="Times New Roman"/>
          <w:sz w:val="24"/>
          <w:szCs w:val="24"/>
        </w:rPr>
      </w:pPr>
      <w:r w:rsidRPr="00931351">
        <w:rPr>
          <w:rFonts w:ascii="Times New Roman" w:hAnsi="Times New Roman" w:cs="Times New Roman"/>
          <w:sz w:val="24"/>
          <w:szCs w:val="24"/>
        </w:rPr>
        <w:t xml:space="preserve">Studiul confirma regimul de funcționare cu tensiuni mari care se înregistrează în mod continuu. Cauza acestor valori ține în mod special de surplusul de putere reactivă din rețeaua electrică de distribuție de 110 kV. Trebuie menționat faptul că, conform înregistrărilor, transferul de putere reactivă se realizează preponderent dinspre rețeaua de 110 kV înspre rețelele electrice de medie tensiune, ceea ce arată faptul că rețelele electrice de medie tensiune nu contribuie la nivelul crescut al tensiunilor din rețelele electrice de 110 kV. Acest studiu cuprinde o serie de recomandari referitoare la montare a bobinelor de reactanta pe 110 kV, locatiile in care trebuie montate precum si prioritizarea acestora pentru optimizarea circulatiilor de energie reactiva si implicit a nivelului de tensiune. </w:t>
      </w:r>
    </w:p>
    <w:p w:rsidR="00931351" w:rsidRPr="00931351" w:rsidRDefault="00931351" w:rsidP="00931351">
      <w:pPr>
        <w:rPr>
          <w:rFonts w:ascii="Times New Roman" w:hAnsi="Times New Roman" w:cs="Times New Roman"/>
          <w:sz w:val="24"/>
          <w:szCs w:val="24"/>
        </w:rPr>
      </w:pPr>
      <w:r w:rsidRPr="00931351">
        <w:rPr>
          <w:rFonts w:ascii="Times New Roman" w:hAnsi="Times New Roman" w:cs="Times New Roman"/>
          <w:sz w:val="24"/>
          <w:szCs w:val="24"/>
        </w:rPr>
        <w:t xml:space="preserve">Pentru eficientizarea investițiilor în sensul obținerii celor mai bune rezultate din punct de vedere al controlului schimbului de putere reactivă dintre RED și RET, se propune planificarea investițiilor în noi bobine de compensare în 2 etape. Aceste soluții au fost stabilite ținând cont de proprietatea stației electrice (se instalează doar în stațiile electrice ce se află în proprietatea DEER) și de disponibilitatea spațiului pentru celulă dedicată bobinei. </w:t>
      </w:r>
    </w:p>
    <w:p w:rsidR="00931351" w:rsidRPr="00931351" w:rsidRDefault="00931351" w:rsidP="00931351">
      <w:pPr>
        <w:rPr>
          <w:rFonts w:ascii="Times New Roman" w:hAnsi="Times New Roman" w:cs="Times New Roman"/>
          <w:sz w:val="24"/>
          <w:szCs w:val="24"/>
        </w:rPr>
      </w:pPr>
      <w:r w:rsidRPr="00931351">
        <w:rPr>
          <w:rFonts w:ascii="Times New Roman" w:hAnsi="Times New Roman" w:cs="Times New Roman"/>
          <w:sz w:val="24"/>
          <w:szCs w:val="24"/>
        </w:rPr>
        <w:t xml:space="preserve">De asemenea se prezinta si alte considerente importante: </w:t>
      </w:r>
    </w:p>
    <w:p w:rsidR="00931351" w:rsidRPr="00931351" w:rsidRDefault="00931351" w:rsidP="00931351">
      <w:pPr>
        <w:rPr>
          <w:rFonts w:ascii="Times New Roman" w:hAnsi="Times New Roman" w:cs="Times New Roman"/>
          <w:sz w:val="24"/>
          <w:szCs w:val="24"/>
        </w:rPr>
      </w:pPr>
      <w:r w:rsidRPr="00931351">
        <w:rPr>
          <w:rFonts w:ascii="Times New Roman" w:hAnsi="Times New Roman" w:cs="Times New Roman"/>
          <w:sz w:val="24"/>
          <w:szCs w:val="24"/>
        </w:rPr>
        <w:t xml:space="preserve">- Stabilirea soluțiilor de compensare a puterii reactive trebuie să aibă în vedere și lucrări viitoare în rețelele electrice. De exemplu, în cazul centralelor electrice conectate la rețeaua electrică prin linii electrice în cablu, proiectantul trebui să prevadă instalarea unei bobine de compensare dimensionată pentru puterea reactivă produsă de linia/liniile electrice. </w:t>
      </w:r>
    </w:p>
    <w:p w:rsidR="00931351" w:rsidRPr="00931351" w:rsidRDefault="00931351" w:rsidP="00931351">
      <w:pPr>
        <w:rPr>
          <w:rFonts w:ascii="Times New Roman" w:hAnsi="Times New Roman" w:cs="Times New Roman"/>
          <w:sz w:val="24"/>
          <w:szCs w:val="24"/>
        </w:rPr>
      </w:pPr>
      <w:r w:rsidRPr="00931351">
        <w:rPr>
          <w:rFonts w:ascii="Times New Roman" w:hAnsi="Times New Roman" w:cs="Times New Roman"/>
          <w:sz w:val="24"/>
          <w:szCs w:val="24"/>
        </w:rPr>
        <w:t xml:space="preserve">În condițiile în care puterea instalată la prosumatori </w:t>
      </w:r>
      <w:proofErr w:type="gramStart"/>
      <w:r w:rsidRPr="00931351">
        <w:rPr>
          <w:rFonts w:ascii="Times New Roman" w:hAnsi="Times New Roman" w:cs="Times New Roman"/>
          <w:sz w:val="24"/>
          <w:szCs w:val="24"/>
        </w:rPr>
        <w:t>a</w:t>
      </w:r>
      <w:proofErr w:type="gramEnd"/>
      <w:r w:rsidRPr="00931351">
        <w:rPr>
          <w:rFonts w:ascii="Times New Roman" w:hAnsi="Times New Roman" w:cs="Times New Roman"/>
          <w:sz w:val="24"/>
          <w:szCs w:val="24"/>
        </w:rPr>
        <w:t xml:space="preserve"> ajuns la o valoarea semnificativă și continuă să crească, se înregistrează circulații de putere activă și reactivă bidirecționale, la toate nivelurile rețelelor electrice. În particular, pe perioada unei zile, pe măsură ce crește producția de energie electrică din sisteme fotovoltaice, puterea activă transferata dinspre rețelele electrice de medie tensiune și înaltă tensiune scade către consumatorii racordați la joasă tensiune, iar aceste rețele electrice rămân slab încărcate, caz în care se înregistrează un surplus de putere reactivă de valori foarte mari, care conduce la creșterea nivelului de tensiune. Aplicarea soluției de deconectare a liniilor electrice pentru reducerea nivelului de tensiune nu este recomandat având în vedere faptul că după amiază se revine la condițiile clasice, cu </w:t>
      </w:r>
      <w:proofErr w:type="gramStart"/>
      <w:r w:rsidRPr="00931351">
        <w:rPr>
          <w:rFonts w:ascii="Times New Roman" w:hAnsi="Times New Roman" w:cs="Times New Roman"/>
          <w:sz w:val="24"/>
          <w:szCs w:val="24"/>
        </w:rPr>
        <w:t>transfer</w:t>
      </w:r>
      <w:proofErr w:type="gramEnd"/>
      <w:r w:rsidRPr="00931351">
        <w:rPr>
          <w:rFonts w:ascii="Times New Roman" w:hAnsi="Times New Roman" w:cs="Times New Roman"/>
          <w:sz w:val="24"/>
          <w:szCs w:val="24"/>
        </w:rPr>
        <w:t xml:space="preserve"> de putere dinspre rețelele electrice de tensiuni mai mari către rețelele electrice de joasă tensiune. </w:t>
      </w:r>
    </w:p>
    <w:p w:rsidR="00931351" w:rsidRPr="00931351" w:rsidRDefault="00931351" w:rsidP="00931351">
      <w:pPr>
        <w:rPr>
          <w:rFonts w:ascii="Times New Roman" w:hAnsi="Times New Roman" w:cs="Times New Roman"/>
          <w:sz w:val="24"/>
          <w:szCs w:val="24"/>
        </w:rPr>
      </w:pPr>
      <w:r w:rsidRPr="00931351">
        <w:rPr>
          <w:rFonts w:ascii="Times New Roman" w:hAnsi="Times New Roman" w:cs="Times New Roman"/>
          <w:sz w:val="24"/>
          <w:szCs w:val="24"/>
        </w:rPr>
        <w:t xml:space="preserve">Având în vedere variațiile continue ale transferului de putere prin rețelele electrice de medie tensiune cauzate de prezenta sistemelor fotovoltaice, în rețelele electrice cu un procent semnificativ de putere instalată la prosumatori se recomandă instalarea unor sisteme de compensare a puterii reactive cu reglaj continuu de timp compensator static sau compensator sincron. Alternativ, se poate analiza necesitatea instalării un transformatoare de tip booster. </w:t>
      </w:r>
    </w:p>
    <w:p w:rsidR="00931351" w:rsidRPr="00931351" w:rsidRDefault="00931351" w:rsidP="00931351">
      <w:pPr>
        <w:rPr>
          <w:rFonts w:ascii="Times New Roman" w:hAnsi="Times New Roman" w:cs="Times New Roman"/>
          <w:sz w:val="24"/>
          <w:szCs w:val="24"/>
        </w:rPr>
      </w:pPr>
      <w:r w:rsidRPr="00931351">
        <w:rPr>
          <w:rFonts w:ascii="Times New Roman" w:hAnsi="Times New Roman" w:cs="Times New Roman"/>
          <w:sz w:val="24"/>
          <w:szCs w:val="24"/>
        </w:rPr>
        <w:lastRenderedPageBreak/>
        <w:t xml:space="preserve">În contextul definit anterior, este necesară schimbarea codului tehnic de rețea pentru a stabili obligații clare de control la nivelul tuturor sistemelor fotovoltaice sincronizate cu rețeaua electrică pentru a participa la reglajul tensiunii </w:t>
      </w:r>
    </w:p>
    <w:p w:rsidR="00931351" w:rsidRPr="00931351" w:rsidRDefault="00931351" w:rsidP="00931351">
      <w:pPr>
        <w:rPr>
          <w:rFonts w:ascii="Times New Roman" w:hAnsi="Times New Roman" w:cs="Times New Roman"/>
          <w:sz w:val="24"/>
          <w:szCs w:val="24"/>
        </w:rPr>
      </w:pPr>
      <w:r w:rsidRPr="00931351">
        <w:rPr>
          <w:rFonts w:ascii="Times New Roman" w:hAnsi="Times New Roman" w:cs="Times New Roman"/>
          <w:sz w:val="24"/>
          <w:szCs w:val="24"/>
        </w:rPr>
        <w:t xml:space="preserve">Lucrarile recomandate sunt cuprinse in Planul de dezvoltare RED pe 10 ani, si vor fi luate in considerare la variantele actualizate ale acestuia. </w:t>
      </w:r>
    </w:p>
    <w:p w:rsidR="00931351" w:rsidRPr="00931351" w:rsidRDefault="00931351" w:rsidP="00931351">
      <w:pPr>
        <w:rPr>
          <w:rFonts w:ascii="Times New Roman" w:hAnsi="Times New Roman" w:cs="Times New Roman"/>
          <w:sz w:val="24"/>
          <w:szCs w:val="24"/>
        </w:rPr>
      </w:pPr>
    </w:p>
    <w:p w:rsidR="00931351" w:rsidRPr="00931351" w:rsidRDefault="003C1FDD" w:rsidP="003C1FDD">
      <w:pPr>
        <w:pStyle w:val="Heading2"/>
      </w:pPr>
      <w:r>
        <w:t xml:space="preserve">1.3. </w:t>
      </w:r>
      <w:r w:rsidR="00931351" w:rsidRPr="00931351">
        <w:t xml:space="preserve">Monitorizarea nivelului de tensiune MT </w:t>
      </w:r>
    </w:p>
    <w:p w:rsidR="00931351" w:rsidRPr="00931351" w:rsidRDefault="00931351" w:rsidP="00931351">
      <w:pPr>
        <w:rPr>
          <w:rFonts w:ascii="Times New Roman" w:hAnsi="Times New Roman" w:cs="Times New Roman"/>
          <w:sz w:val="24"/>
          <w:szCs w:val="24"/>
        </w:rPr>
      </w:pPr>
      <w:r w:rsidRPr="00931351">
        <w:rPr>
          <w:rFonts w:ascii="Times New Roman" w:hAnsi="Times New Roman" w:cs="Times New Roman"/>
          <w:sz w:val="24"/>
          <w:szCs w:val="24"/>
        </w:rPr>
        <w:t xml:space="preserve">1. Conform analizelor, cele mai mici valori (extreme) ale benzilor de tensiune la nivel DEER sunt dupa cum urmeaza: </w:t>
      </w:r>
    </w:p>
    <w:p w:rsidR="00931351" w:rsidRPr="00931351" w:rsidRDefault="00931351" w:rsidP="00931351">
      <w:pPr>
        <w:rPr>
          <w:rFonts w:ascii="Times New Roman" w:hAnsi="Times New Roman" w:cs="Times New Roman"/>
          <w:sz w:val="24"/>
          <w:szCs w:val="24"/>
        </w:rPr>
      </w:pPr>
      <w:r w:rsidRPr="00931351">
        <w:rPr>
          <w:rFonts w:ascii="Times New Roman" w:hAnsi="Times New Roman" w:cs="Times New Roman"/>
          <w:sz w:val="24"/>
          <w:szCs w:val="24"/>
        </w:rPr>
        <w:t xml:space="preserve">Banda minima - 19,9 kV </w:t>
      </w:r>
    </w:p>
    <w:p w:rsidR="00931351" w:rsidRPr="00931351" w:rsidRDefault="00931351" w:rsidP="00931351">
      <w:pPr>
        <w:rPr>
          <w:rFonts w:ascii="Times New Roman" w:hAnsi="Times New Roman" w:cs="Times New Roman"/>
          <w:sz w:val="24"/>
          <w:szCs w:val="24"/>
        </w:rPr>
      </w:pPr>
      <w:r w:rsidRPr="00931351">
        <w:rPr>
          <w:rFonts w:ascii="Times New Roman" w:hAnsi="Times New Roman" w:cs="Times New Roman"/>
          <w:sz w:val="24"/>
          <w:szCs w:val="24"/>
        </w:rPr>
        <w:t xml:space="preserve">Banda normala - 20,2 kV </w:t>
      </w:r>
    </w:p>
    <w:p w:rsidR="00931351" w:rsidRPr="00931351" w:rsidRDefault="00931351" w:rsidP="00931351">
      <w:pPr>
        <w:rPr>
          <w:rFonts w:ascii="Times New Roman" w:hAnsi="Times New Roman" w:cs="Times New Roman"/>
          <w:sz w:val="24"/>
          <w:szCs w:val="24"/>
        </w:rPr>
      </w:pPr>
      <w:r w:rsidRPr="00931351">
        <w:rPr>
          <w:rFonts w:ascii="Times New Roman" w:hAnsi="Times New Roman" w:cs="Times New Roman"/>
          <w:sz w:val="24"/>
          <w:szCs w:val="24"/>
        </w:rPr>
        <w:t xml:space="preserve">Banda mazima kV - 20,6 kV </w:t>
      </w:r>
    </w:p>
    <w:p w:rsidR="00931351" w:rsidRPr="00931351" w:rsidRDefault="00931351" w:rsidP="00931351">
      <w:pPr>
        <w:rPr>
          <w:rFonts w:ascii="Times New Roman" w:hAnsi="Times New Roman" w:cs="Times New Roman"/>
          <w:sz w:val="24"/>
          <w:szCs w:val="24"/>
        </w:rPr>
      </w:pPr>
      <w:r w:rsidRPr="00931351">
        <w:rPr>
          <w:rFonts w:ascii="Times New Roman" w:hAnsi="Times New Roman" w:cs="Times New Roman"/>
          <w:sz w:val="24"/>
          <w:szCs w:val="24"/>
        </w:rPr>
        <w:t xml:space="preserve">Conform analizelor, cele mai mari valori (etreme) ale benzilor de tensiune la nivel DEER sunt dupa cum urmeaza: </w:t>
      </w:r>
    </w:p>
    <w:p w:rsidR="00931351" w:rsidRPr="00931351" w:rsidRDefault="00931351" w:rsidP="00931351">
      <w:pPr>
        <w:rPr>
          <w:rFonts w:ascii="Times New Roman" w:hAnsi="Times New Roman" w:cs="Times New Roman"/>
          <w:sz w:val="24"/>
          <w:szCs w:val="24"/>
        </w:rPr>
      </w:pPr>
      <w:r w:rsidRPr="00931351">
        <w:rPr>
          <w:rFonts w:ascii="Times New Roman" w:hAnsi="Times New Roman" w:cs="Times New Roman"/>
          <w:sz w:val="24"/>
          <w:szCs w:val="24"/>
        </w:rPr>
        <w:t xml:space="preserve">Banda minima - 21,4 kV </w:t>
      </w:r>
    </w:p>
    <w:p w:rsidR="00931351" w:rsidRPr="00931351" w:rsidRDefault="00931351" w:rsidP="00931351">
      <w:pPr>
        <w:rPr>
          <w:rFonts w:ascii="Times New Roman" w:hAnsi="Times New Roman" w:cs="Times New Roman"/>
          <w:sz w:val="24"/>
          <w:szCs w:val="24"/>
        </w:rPr>
      </w:pPr>
      <w:r w:rsidRPr="00931351">
        <w:rPr>
          <w:rFonts w:ascii="Times New Roman" w:hAnsi="Times New Roman" w:cs="Times New Roman"/>
          <w:sz w:val="24"/>
          <w:szCs w:val="24"/>
        </w:rPr>
        <w:t xml:space="preserve">Banda normala - 21,7 kV </w:t>
      </w:r>
    </w:p>
    <w:p w:rsidR="00931351" w:rsidRPr="00931351" w:rsidRDefault="00931351" w:rsidP="00931351">
      <w:pPr>
        <w:rPr>
          <w:rFonts w:ascii="Times New Roman" w:hAnsi="Times New Roman" w:cs="Times New Roman"/>
          <w:sz w:val="24"/>
          <w:szCs w:val="24"/>
        </w:rPr>
      </w:pPr>
      <w:r w:rsidRPr="00931351">
        <w:rPr>
          <w:rFonts w:ascii="Times New Roman" w:hAnsi="Times New Roman" w:cs="Times New Roman"/>
          <w:sz w:val="24"/>
          <w:szCs w:val="24"/>
        </w:rPr>
        <w:t xml:space="preserve">Banda mazima - 21,8 kV </w:t>
      </w:r>
    </w:p>
    <w:p w:rsidR="00931351" w:rsidRPr="00931351" w:rsidRDefault="00931351" w:rsidP="00931351">
      <w:pPr>
        <w:rPr>
          <w:rFonts w:ascii="Times New Roman" w:hAnsi="Times New Roman" w:cs="Times New Roman"/>
          <w:sz w:val="24"/>
          <w:szCs w:val="24"/>
        </w:rPr>
      </w:pPr>
      <w:r w:rsidRPr="00931351">
        <w:rPr>
          <w:rFonts w:ascii="Times New Roman" w:hAnsi="Times New Roman" w:cs="Times New Roman"/>
          <w:sz w:val="24"/>
          <w:szCs w:val="24"/>
        </w:rPr>
        <w:t xml:space="preserve">In RED care au in functiune RATT, actionarea comutatoarelor de ploturi se realizeaza automat prin SCADA; benzile de tensiune sunt gestionabile si implicit cu posibilitate de functionare </w:t>
      </w:r>
      <w:proofErr w:type="gramStart"/>
      <w:r w:rsidRPr="00931351">
        <w:rPr>
          <w:rFonts w:ascii="Times New Roman" w:hAnsi="Times New Roman" w:cs="Times New Roman"/>
          <w:sz w:val="24"/>
          <w:szCs w:val="24"/>
        </w:rPr>
        <w:t xml:space="preserve">dinamica </w:t>
      </w:r>
      <w:r w:rsidR="003C1FDD">
        <w:rPr>
          <w:rFonts w:ascii="Times New Roman" w:hAnsi="Times New Roman" w:cs="Times New Roman"/>
          <w:sz w:val="24"/>
          <w:szCs w:val="24"/>
        </w:rPr>
        <w:t>.</w:t>
      </w:r>
      <w:proofErr w:type="gramEnd"/>
    </w:p>
    <w:p w:rsidR="003C1FDD" w:rsidRDefault="00931351" w:rsidP="00931351">
      <w:pPr>
        <w:rPr>
          <w:rFonts w:ascii="Times New Roman" w:hAnsi="Times New Roman" w:cs="Times New Roman"/>
          <w:sz w:val="24"/>
          <w:szCs w:val="24"/>
        </w:rPr>
      </w:pPr>
      <w:r w:rsidRPr="00931351">
        <w:rPr>
          <w:rFonts w:ascii="Times New Roman" w:hAnsi="Times New Roman" w:cs="Times New Roman"/>
          <w:sz w:val="24"/>
          <w:szCs w:val="24"/>
        </w:rPr>
        <w:t xml:space="preserve">Diferentele existente intre statiile de transformare, din punct de vedere al benzilor de tensiune stabilite, au la baza profilul cosumatorilor/producatorilor care sunt racordati la RED MT și lungimile liniilor alimentate de pe bare de MT aferente stațiilor de transformare </w:t>
      </w:r>
    </w:p>
    <w:p w:rsidR="00931351" w:rsidRPr="00931351" w:rsidRDefault="00931351" w:rsidP="00931351">
      <w:pPr>
        <w:rPr>
          <w:rFonts w:ascii="Times New Roman" w:hAnsi="Times New Roman" w:cs="Times New Roman"/>
          <w:sz w:val="24"/>
          <w:szCs w:val="24"/>
        </w:rPr>
      </w:pPr>
      <w:r w:rsidRPr="00931351">
        <w:rPr>
          <w:rFonts w:ascii="Times New Roman" w:hAnsi="Times New Roman" w:cs="Times New Roman"/>
          <w:sz w:val="24"/>
          <w:szCs w:val="24"/>
        </w:rPr>
        <w:t xml:space="preserve">La momentul stabilirii/ reactualizarii benzilor de tensiune sunt analizate profilurile de consum/producție și sunt ajustate în funcție de solicitările rețelei – nivelurile de tensiune necorespunzătoare reclamate de către utilizatori (prea mari sau prea mici, după caz, producție sau consum) </w:t>
      </w:r>
    </w:p>
    <w:p w:rsidR="00931351" w:rsidRPr="00931351" w:rsidRDefault="00931351" w:rsidP="00931351">
      <w:pPr>
        <w:rPr>
          <w:rFonts w:ascii="Times New Roman" w:hAnsi="Times New Roman" w:cs="Times New Roman"/>
          <w:sz w:val="24"/>
          <w:szCs w:val="24"/>
        </w:rPr>
      </w:pPr>
      <w:r w:rsidRPr="00931351">
        <w:rPr>
          <w:rFonts w:ascii="Times New Roman" w:hAnsi="Times New Roman" w:cs="Times New Roman"/>
          <w:sz w:val="24"/>
          <w:szCs w:val="24"/>
        </w:rPr>
        <w:t xml:space="preserve">In cadrul RATT sunt parametrizate nivelurile de tensiune, acestea fiind actualizate periodic (o data la 6 luni sau ori de câte ori se constată necesitatea) </w:t>
      </w:r>
    </w:p>
    <w:p w:rsidR="00931351" w:rsidRPr="00931351" w:rsidRDefault="00931351" w:rsidP="00931351">
      <w:pPr>
        <w:rPr>
          <w:rFonts w:ascii="Times New Roman" w:hAnsi="Times New Roman" w:cs="Times New Roman"/>
          <w:sz w:val="24"/>
          <w:szCs w:val="24"/>
        </w:rPr>
      </w:pPr>
      <w:r w:rsidRPr="00931351">
        <w:rPr>
          <w:rFonts w:ascii="Times New Roman" w:hAnsi="Times New Roman" w:cs="Times New Roman"/>
          <w:sz w:val="24"/>
          <w:szCs w:val="24"/>
        </w:rPr>
        <w:t xml:space="preserve">Este modificată configurația rețelei operativ, urmarindu-se optimizarea din punct de vedere al încadrării tensiunilor pentru o functionare eficienta (nivel redus de pierderi) și pentru asigurarea nivelului necesar ca centralele racordate în RED MT să poată debita energia produsă </w:t>
      </w:r>
    </w:p>
    <w:p w:rsidR="00931351" w:rsidRPr="00931351" w:rsidRDefault="00931351" w:rsidP="00931351">
      <w:pPr>
        <w:rPr>
          <w:rFonts w:ascii="Times New Roman" w:hAnsi="Times New Roman" w:cs="Times New Roman"/>
          <w:sz w:val="24"/>
          <w:szCs w:val="24"/>
        </w:rPr>
      </w:pPr>
      <w:r w:rsidRPr="00931351">
        <w:rPr>
          <w:rFonts w:ascii="Times New Roman" w:hAnsi="Times New Roman" w:cs="Times New Roman"/>
          <w:sz w:val="24"/>
          <w:szCs w:val="24"/>
        </w:rPr>
        <w:lastRenderedPageBreak/>
        <w:t xml:space="preserve">Obiectivul specific este de extindere </w:t>
      </w:r>
      <w:proofErr w:type="gramStart"/>
      <w:r w:rsidRPr="00931351">
        <w:rPr>
          <w:rFonts w:ascii="Times New Roman" w:hAnsi="Times New Roman" w:cs="Times New Roman"/>
          <w:sz w:val="24"/>
          <w:szCs w:val="24"/>
        </w:rPr>
        <w:t>a</w:t>
      </w:r>
      <w:proofErr w:type="gramEnd"/>
      <w:r w:rsidRPr="00931351">
        <w:rPr>
          <w:rFonts w:ascii="Times New Roman" w:hAnsi="Times New Roman" w:cs="Times New Roman"/>
          <w:sz w:val="24"/>
          <w:szCs w:val="24"/>
        </w:rPr>
        <w:t xml:space="preserve"> implementarii si darea in exploatare a RATT, precum si asigurarea comenzilor din SCADA –DMS asupra acestora precum si asupra comutatoarelor de ploturi. </w:t>
      </w:r>
    </w:p>
    <w:p w:rsidR="00931351" w:rsidRPr="00931351" w:rsidRDefault="003C1FDD" w:rsidP="003C1FDD">
      <w:pPr>
        <w:pStyle w:val="Heading2"/>
      </w:pPr>
      <w:r>
        <w:t>1.3</w:t>
      </w:r>
      <w:r w:rsidR="00931351" w:rsidRPr="00931351">
        <w:t xml:space="preserve">. Masuri specifice aplicate </w:t>
      </w:r>
    </w:p>
    <w:p w:rsidR="00931351" w:rsidRPr="00931351" w:rsidRDefault="00931351" w:rsidP="00931351">
      <w:pPr>
        <w:rPr>
          <w:rFonts w:ascii="Times New Roman" w:hAnsi="Times New Roman" w:cs="Times New Roman"/>
          <w:sz w:val="24"/>
          <w:szCs w:val="24"/>
        </w:rPr>
      </w:pPr>
      <w:r w:rsidRPr="00931351">
        <w:rPr>
          <w:rFonts w:ascii="Segoe UI Symbol" w:hAnsi="Segoe UI Symbol" w:cs="Segoe UI Symbol"/>
          <w:sz w:val="24"/>
          <w:szCs w:val="24"/>
        </w:rPr>
        <w:t>✓</w:t>
      </w:r>
      <w:r w:rsidRPr="00931351">
        <w:rPr>
          <w:rFonts w:ascii="Times New Roman" w:hAnsi="Times New Roman" w:cs="Times New Roman"/>
          <w:sz w:val="24"/>
          <w:szCs w:val="24"/>
        </w:rPr>
        <w:t xml:space="preserve"> Analiza functionarii echipamentelor telecomandate de tipul reanclanşatoarelor si separatoarelor performante si stabilirea unui mod optim de funcţionare </w:t>
      </w:r>
      <w:proofErr w:type="gramStart"/>
      <w:r w:rsidRPr="00931351">
        <w:rPr>
          <w:rFonts w:ascii="Times New Roman" w:hAnsi="Times New Roman" w:cs="Times New Roman"/>
          <w:sz w:val="24"/>
          <w:szCs w:val="24"/>
        </w:rPr>
        <w:t>a</w:t>
      </w:r>
      <w:proofErr w:type="gramEnd"/>
      <w:r w:rsidRPr="00931351">
        <w:rPr>
          <w:rFonts w:ascii="Times New Roman" w:hAnsi="Times New Roman" w:cs="Times New Roman"/>
          <w:sz w:val="24"/>
          <w:szCs w:val="24"/>
        </w:rPr>
        <w:t xml:space="preserve"> automatizărilor și protecţiilor, în sensul încadrării în limitele impuse de Standard în privinţa înteruperilor scurte si tranzitorii. </w:t>
      </w:r>
    </w:p>
    <w:p w:rsidR="00931351" w:rsidRPr="00931351" w:rsidRDefault="00931351" w:rsidP="00931351">
      <w:pPr>
        <w:rPr>
          <w:rFonts w:ascii="Times New Roman" w:hAnsi="Times New Roman" w:cs="Times New Roman"/>
          <w:sz w:val="24"/>
          <w:szCs w:val="24"/>
        </w:rPr>
      </w:pPr>
      <w:r w:rsidRPr="00931351">
        <w:rPr>
          <w:rFonts w:ascii="Segoe UI Symbol" w:hAnsi="Segoe UI Symbol" w:cs="Segoe UI Symbol"/>
          <w:sz w:val="24"/>
          <w:szCs w:val="24"/>
        </w:rPr>
        <w:t>✓</w:t>
      </w:r>
      <w:r w:rsidRPr="00931351">
        <w:rPr>
          <w:rFonts w:ascii="Times New Roman" w:hAnsi="Times New Roman" w:cs="Times New Roman"/>
          <w:sz w:val="24"/>
          <w:szCs w:val="24"/>
        </w:rPr>
        <w:t xml:space="preserve"> Monitorizarea in exploatare </w:t>
      </w:r>
      <w:proofErr w:type="gramStart"/>
      <w:r w:rsidRPr="00931351">
        <w:rPr>
          <w:rFonts w:ascii="Times New Roman" w:hAnsi="Times New Roman" w:cs="Times New Roman"/>
          <w:sz w:val="24"/>
          <w:szCs w:val="24"/>
        </w:rPr>
        <w:t>a</w:t>
      </w:r>
      <w:proofErr w:type="gramEnd"/>
      <w:r w:rsidRPr="00931351">
        <w:rPr>
          <w:rFonts w:ascii="Times New Roman" w:hAnsi="Times New Roman" w:cs="Times New Roman"/>
          <w:sz w:val="24"/>
          <w:szCs w:val="24"/>
        </w:rPr>
        <w:t xml:space="preserve"> instalațiilor prin implementarea de tehnologii inovative, prioritizarea lucrărilor de investiții și a celor de mentenanță complexă, rămân obiective importante ale Societății, alături de trecerea treptată de la executarea lucrărilor de mentenanță bazată pe timp, la lucrări de mentenanță bazate pe stare. Aceste monitorizări și analize stau la baza Programelor de Investiții și de Mentenanță. </w:t>
      </w:r>
    </w:p>
    <w:p w:rsidR="00931351" w:rsidRPr="00931351" w:rsidRDefault="00931351" w:rsidP="00931351">
      <w:pPr>
        <w:rPr>
          <w:rFonts w:ascii="Times New Roman" w:hAnsi="Times New Roman" w:cs="Times New Roman"/>
          <w:sz w:val="24"/>
          <w:szCs w:val="24"/>
        </w:rPr>
      </w:pPr>
      <w:r w:rsidRPr="00931351">
        <w:rPr>
          <w:rFonts w:ascii="Times New Roman" w:hAnsi="Times New Roman" w:cs="Times New Roman"/>
          <w:sz w:val="24"/>
          <w:szCs w:val="24"/>
        </w:rPr>
        <w:t xml:space="preserve">Aproximativ 25% din lucrările cuprinse în planurile de investiții au ca obiectiv principal imbuntatirea indicatorilor de continuitate: introducere în SCADA a stațiilor de transformare, montarea de reclosere și separatoare telecontrolate în LEA MT și modernizarea rețelelor de distribuție cu frecvență mare de defect. </w:t>
      </w:r>
    </w:p>
    <w:p w:rsidR="00931351" w:rsidRPr="003C1FDD" w:rsidRDefault="00931351" w:rsidP="003C1FDD">
      <w:pPr>
        <w:pStyle w:val="ListParagraph"/>
        <w:numPr>
          <w:ilvl w:val="0"/>
          <w:numId w:val="6"/>
        </w:numPr>
        <w:rPr>
          <w:rFonts w:ascii="Times New Roman" w:hAnsi="Times New Roman" w:cs="Times New Roman"/>
          <w:sz w:val="24"/>
          <w:szCs w:val="24"/>
        </w:rPr>
      </w:pPr>
      <w:r w:rsidRPr="003C1FDD">
        <w:rPr>
          <w:rFonts w:ascii="Times New Roman" w:hAnsi="Times New Roman" w:cs="Times New Roman"/>
          <w:sz w:val="24"/>
          <w:szCs w:val="24"/>
        </w:rPr>
        <w:t xml:space="preserve">Elaborarea Planului Anual de Mentenanța bazat pe intervenții programate în instalațiile electrice al caror comportament în exploatare a ridicat probleme </w:t>
      </w:r>
    </w:p>
    <w:p w:rsidR="00931351" w:rsidRPr="003C1FDD" w:rsidRDefault="00931351" w:rsidP="003C1FDD">
      <w:pPr>
        <w:pStyle w:val="ListParagraph"/>
        <w:numPr>
          <w:ilvl w:val="0"/>
          <w:numId w:val="6"/>
        </w:numPr>
        <w:rPr>
          <w:rFonts w:ascii="Times New Roman" w:hAnsi="Times New Roman" w:cs="Times New Roman"/>
          <w:sz w:val="24"/>
          <w:szCs w:val="24"/>
        </w:rPr>
      </w:pPr>
      <w:r w:rsidRPr="003C1FDD">
        <w:rPr>
          <w:rFonts w:ascii="Times New Roman" w:hAnsi="Times New Roman" w:cs="Times New Roman"/>
          <w:sz w:val="24"/>
          <w:szCs w:val="24"/>
        </w:rPr>
        <w:t xml:space="preserve">Promovarea în planurile de investiții a unor lucrări de modernizare/retehnologizare pentru ansambluri funcționale cu frecvență mare de defect, respectiv a celor care au totalizat costuri mari de mentenanță corectivă, este cheia unei eficiențe crescute. </w:t>
      </w:r>
    </w:p>
    <w:p w:rsidR="00931351" w:rsidRPr="003C1FDD" w:rsidRDefault="00931351" w:rsidP="003C1FDD">
      <w:pPr>
        <w:pStyle w:val="ListParagraph"/>
        <w:numPr>
          <w:ilvl w:val="0"/>
          <w:numId w:val="6"/>
        </w:numPr>
        <w:rPr>
          <w:rFonts w:ascii="Times New Roman" w:hAnsi="Times New Roman" w:cs="Times New Roman"/>
          <w:sz w:val="24"/>
          <w:szCs w:val="24"/>
        </w:rPr>
      </w:pPr>
      <w:r w:rsidRPr="003C1FDD">
        <w:rPr>
          <w:rFonts w:ascii="Times New Roman" w:hAnsi="Times New Roman" w:cs="Times New Roman"/>
          <w:sz w:val="24"/>
          <w:szCs w:val="24"/>
        </w:rPr>
        <w:t xml:space="preserve">Monitorizarea și diagnosticarea instalațiilor și a comportării lor în exploatare stau la baza acestor Programe și se realizează atât prin personalul tehnic de exploatere în cadrul controalelor periodice efectuate, prin aplicații dedicate care generează rapoarte în masură să caracterizeze comportarea în exploatare a rețelelor, cât și prin urmărirea permanentă a datelor înregistrate de analizoarele montate în stațiile de transformare. </w:t>
      </w:r>
    </w:p>
    <w:p w:rsidR="00931351" w:rsidRPr="003C1FDD" w:rsidRDefault="00931351" w:rsidP="003C1FDD">
      <w:pPr>
        <w:pStyle w:val="ListParagraph"/>
        <w:numPr>
          <w:ilvl w:val="0"/>
          <w:numId w:val="6"/>
        </w:numPr>
        <w:rPr>
          <w:rFonts w:ascii="Times New Roman" w:hAnsi="Times New Roman" w:cs="Times New Roman"/>
          <w:sz w:val="24"/>
          <w:szCs w:val="24"/>
        </w:rPr>
      </w:pPr>
      <w:r w:rsidRPr="003C1FDD">
        <w:rPr>
          <w:rFonts w:ascii="Times New Roman" w:hAnsi="Times New Roman" w:cs="Times New Roman"/>
          <w:sz w:val="24"/>
          <w:szCs w:val="24"/>
        </w:rPr>
        <w:t xml:space="preserve">Implementarea la nivel DEER a unui instrument unic de monitorizare a continuitatii in alimentarea cu energie electrica respectiv implementarea OMS (Outage management system). </w:t>
      </w:r>
    </w:p>
    <w:p w:rsidR="00931351" w:rsidRPr="003C1FDD" w:rsidRDefault="00931351" w:rsidP="003C1FDD">
      <w:pPr>
        <w:pStyle w:val="ListParagraph"/>
        <w:numPr>
          <w:ilvl w:val="0"/>
          <w:numId w:val="6"/>
        </w:numPr>
        <w:rPr>
          <w:rFonts w:ascii="Times New Roman" w:hAnsi="Times New Roman" w:cs="Times New Roman"/>
          <w:sz w:val="24"/>
          <w:szCs w:val="24"/>
        </w:rPr>
      </w:pPr>
      <w:r w:rsidRPr="003C1FDD">
        <w:rPr>
          <w:rFonts w:ascii="Times New Roman" w:hAnsi="Times New Roman" w:cs="Times New Roman"/>
          <w:sz w:val="24"/>
          <w:szCs w:val="24"/>
        </w:rPr>
        <w:t xml:space="preserve">Dezvoltarea unei platforme de monitorizare </w:t>
      </w:r>
      <w:proofErr w:type="gramStart"/>
      <w:r w:rsidRPr="003C1FDD">
        <w:rPr>
          <w:rFonts w:ascii="Times New Roman" w:hAnsi="Times New Roman" w:cs="Times New Roman"/>
          <w:sz w:val="24"/>
          <w:szCs w:val="24"/>
        </w:rPr>
        <w:t>a</w:t>
      </w:r>
      <w:proofErr w:type="gramEnd"/>
      <w:r w:rsidRPr="003C1FDD">
        <w:rPr>
          <w:rFonts w:ascii="Times New Roman" w:hAnsi="Times New Roman" w:cs="Times New Roman"/>
          <w:sz w:val="24"/>
          <w:szCs w:val="24"/>
        </w:rPr>
        <w:t xml:space="preserve"> indicatorilor de performanta prin prin preluarea si prelucrarea datelor inregistrate de analizoare si contoare SMI din posturile de transformare, pentru monitorizarea corecta a calitatii tehnice a energiei electrice, care sa permita inregistrarea automata a abaterilor si generarea situatiilor pentru care este necesara demararea procesului de acordare a compensatiilor si de promovare lucrari de investitii. </w:t>
      </w:r>
    </w:p>
    <w:p w:rsidR="00931351" w:rsidRPr="00931351" w:rsidRDefault="00931351" w:rsidP="003C1FDD">
      <w:pPr>
        <w:pStyle w:val="ListParagraph"/>
        <w:numPr>
          <w:ilvl w:val="0"/>
          <w:numId w:val="6"/>
        </w:numPr>
        <w:rPr>
          <w:rFonts w:ascii="Times New Roman" w:hAnsi="Times New Roman" w:cs="Times New Roman"/>
          <w:sz w:val="24"/>
          <w:szCs w:val="24"/>
        </w:rPr>
      </w:pPr>
      <w:r w:rsidRPr="00931351">
        <w:rPr>
          <w:rFonts w:ascii="Times New Roman" w:hAnsi="Times New Roman" w:cs="Times New Roman"/>
          <w:sz w:val="24"/>
          <w:szCs w:val="24"/>
        </w:rPr>
        <w:t xml:space="preserve">In conducerea operativa a RED: o Conform planului de masuri proprii DEER, referitor la reglajul de tensiune in gol de sarcina, masurile stabilite sunt aplicate permanent in mod operativ. </w:t>
      </w:r>
    </w:p>
    <w:p w:rsidR="00931351" w:rsidRPr="003C1FDD" w:rsidRDefault="00931351" w:rsidP="003C1FDD">
      <w:pPr>
        <w:pStyle w:val="ListParagraph"/>
        <w:numPr>
          <w:ilvl w:val="0"/>
          <w:numId w:val="6"/>
        </w:numPr>
        <w:rPr>
          <w:rFonts w:ascii="Times New Roman" w:hAnsi="Times New Roman" w:cs="Times New Roman"/>
          <w:sz w:val="24"/>
          <w:szCs w:val="24"/>
        </w:rPr>
      </w:pPr>
      <w:r w:rsidRPr="003C1FDD">
        <w:rPr>
          <w:rFonts w:ascii="Times New Roman" w:hAnsi="Times New Roman" w:cs="Times New Roman"/>
          <w:sz w:val="24"/>
          <w:szCs w:val="24"/>
        </w:rPr>
        <w:lastRenderedPageBreak/>
        <w:t xml:space="preserve">In cadrul analizei semestriale, cu ocazia elaborarii SN vara/iarna, se realizeaza stabilirea benzilor de tensiune la nivel de sucursala, prin Dispecerat MT/jt. </w:t>
      </w:r>
    </w:p>
    <w:p w:rsidR="00931351" w:rsidRPr="00931351" w:rsidRDefault="00931351" w:rsidP="003C1FDD">
      <w:pPr>
        <w:pStyle w:val="ListParagraph"/>
        <w:numPr>
          <w:ilvl w:val="0"/>
          <w:numId w:val="6"/>
        </w:numPr>
        <w:rPr>
          <w:rFonts w:ascii="Times New Roman" w:hAnsi="Times New Roman" w:cs="Times New Roman"/>
          <w:sz w:val="24"/>
          <w:szCs w:val="24"/>
        </w:rPr>
      </w:pPr>
      <w:r w:rsidRPr="00931351">
        <w:rPr>
          <w:rFonts w:ascii="Times New Roman" w:hAnsi="Times New Roman" w:cs="Times New Roman"/>
          <w:sz w:val="24"/>
          <w:szCs w:val="24"/>
        </w:rPr>
        <w:t xml:space="preserve">Masurile aplicate sunt corelate cu dispozitia DEN de participare a centralelor/IS (instalatiilor de stocare) de categorie C si D la reglajul tensiunii. </w:t>
      </w:r>
    </w:p>
    <w:p w:rsidR="00931351" w:rsidRPr="00931351" w:rsidRDefault="00931351" w:rsidP="003C1FDD">
      <w:pPr>
        <w:pStyle w:val="ListParagraph"/>
        <w:rPr>
          <w:rFonts w:ascii="Times New Roman" w:hAnsi="Times New Roman" w:cs="Times New Roman"/>
          <w:sz w:val="24"/>
          <w:szCs w:val="24"/>
        </w:rPr>
      </w:pPr>
    </w:p>
    <w:p w:rsidR="00931351" w:rsidRDefault="00CC24B5" w:rsidP="00CC24B5">
      <w:pPr>
        <w:pStyle w:val="Heading1"/>
        <w:rPr>
          <w:lang w:val="ro-RO"/>
        </w:rPr>
      </w:pPr>
      <w:r>
        <w:rPr>
          <w:lang w:val="ro-RO"/>
        </w:rPr>
        <w:t xml:space="preserve">2. Delgaz Grid </w:t>
      </w:r>
    </w:p>
    <w:p w:rsidR="00CC24B5" w:rsidRPr="00CC24B5" w:rsidRDefault="00CC24B5" w:rsidP="00CC24B5">
      <w:pPr>
        <w:spacing w:after="200" w:line="276" w:lineRule="auto"/>
        <w:jc w:val="both"/>
        <w:rPr>
          <w:rFonts w:ascii="Calibri" w:eastAsia="Calibri" w:hAnsi="Calibri" w:cs="Times New Roman"/>
          <w:lang w:val="pt-BR"/>
        </w:rPr>
      </w:pPr>
      <w:r w:rsidRPr="00CC24B5">
        <w:rPr>
          <w:rFonts w:ascii="Calibri" w:eastAsia="Calibri" w:hAnsi="Calibri" w:cs="Times New Roman"/>
          <w:lang w:val="pt-BR"/>
        </w:rPr>
        <w:t>Pentru anul 2025 au fost analizate datele din 121 analizoare de calitate a energiei electrice montate în statiile de transformare din gestiunea DELGAZ .</w:t>
      </w:r>
    </w:p>
    <w:p w:rsidR="00CC24B5" w:rsidRPr="00CC24B5" w:rsidRDefault="00CC24B5" w:rsidP="00CC24B5">
      <w:pPr>
        <w:spacing w:after="200" w:line="276" w:lineRule="auto"/>
        <w:jc w:val="both"/>
        <w:rPr>
          <w:rFonts w:ascii="Calibri" w:eastAsia="Calibri" w:hAnsi="Calibri" w:cs="Times New Roman"/>
          <w:lang w:val="pt-BR"/>
        </w:rPr>
      </w:pPr>
      <w:r w:rsidRPr="00CC24B5">
        <w:rPr>
          <w:rFonts w:ascii="Calibri" w:eastAsia="Calibri" w:hAnsi="Calibri" w:cs="Times New Roman"/>
          <w:lang w:val="pt-BR"/>
        </w:rPr>
        <w:t>Parametrii de calitate a energiei electrice sunt în limitele normale , însă există și unele exceptii pentru anumiti parametri tehnici de calitate.</w:t>
      </w:r>
    </w:p>
    <w:p w:rsidR="00CC24B5" w:rsidRPr="00CC24B5" w:rsidRDefault="00CC24B5" w:rsidP="00CC24B5">
      <w:pPr>
        <w:spacing w:after="200" w:line="276" w:lineRule="auto"/>
        <w:rPr>
          <w:rFonts w:ascii="Calibri" w:eastAsia="Calibri" w:hAnsi="Calibri" w:cs="Times New Roman"/>
          <w:lang w:val="pt-BR"/>
        </w:rPr>
      </w:pPr>
      <w:r w:rsidRPr="00CC24B5">
        <w:rPr>
          <w:rStyle w:val="Heading2Char"/>
        </w:rPr>
        <w:t>2.1</w:t>
      </w:r>
      <w:r>
        <w:rPr>
          <w:rStyle w:val="Heading2Char"/>
        </w:rPr>
        <w:t>.</w:t>
      </w:r>
      <w:r w:rsidRPr="00CC24B5">
        <w:rPr>
          <w:rStyle w:val="Heading2Char"/>
          <w:lang w:val="pt-BR"/>
        </w:rPr>
        <w:t xml:space="preserve"> </w:t>
      </w:r>
      <w:proofErr w:type="gramStart"/>
      <w:r w:rsidRPr="00CC24B5">
        <w:rPr>
          <w:rStyle w:val="Heading2Char"/>
          <w:lang w:val="pt-BR"/>
        </w:rPr>
        <w:t>Tensiunea :</w:t>
      </w:r>
      <w:proofErr w:type="gramEnd"/>
      <w:r w:rsidRPr="00CC24B5">
        <w:rPr>
          <w:rFonts w:ascii="Calibri" w:eastAsia="Calibri" w:hAnsi="Calibri" w:cs="Times New Roman"/>
          <w:lang w:val="pt-BR"/>
        </w:rPr>
        <w:t xml:space="preserve"> În toate statiile de transformare tensiunea se încadreaza în limitele admise.</w:t>
      </w:r>
    </w:p>
    <w:p w:rsidR="00CC24B5" w:rsidRPr="00CC24B5" w:rsidRDefault="00CC24B5" w:rsidP="00CC24B5">
      <w:pPr>
        <w:spacing w:after="200" w:line="276" w:lineRule="auto"/>
        <w:rPr>
          <w:rFonts w:ascii="Calibri" w:eastAsia="Calibri" w:hAnsi="Calibri" w:cs="Times New Roman"/>
          <w:lang w:val="pt-BR"/>
        </w:rPr>
      </w:pPr>
      <w:r w:rsidRPr="00CC24B5">
        <w:rPr>
          <w:rFonts w:ascii="Calibri" w:eastAsia="Calibri" w:hAnsi="Calibri" w:cs="Times New Roman"/>
          <w:noProof/>
        </w:rPr>
        <w:drawing>
          <wp:inline distT="0" distB="0" distL="0" distR="0" wp14:anchorId="70EC7735" wp14:editId="3AA614A1">
            <wp:extent cx="6645910" cy="3075305"/>
            <wp:effectExtent l="0" t="0" r="0" b="0"/>
            <wp:docPr id="78340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645910" cy="3075305"/>
                    </a:xfrm>
                    <a:prstGeom prst="rect">
                      <a:avLst/>
                    </a:prstGeom>
                    <a:noFill/>
                    <a:ln>
                      <a:noFill/>
                    </a:ln>
                  </pic:spPr>
                </pic:pic>
              </a:graphicData>
            </a:graphic>
          </wp:inline>
        </w:drawing>
      </w:r>
    </w:p>
    <w:p w:rsidR="00CC24B5" w:rsidRPr="00CC24B5" w:rsidRDefault="00CC24B5" w:rsidP="00CC24B5">
      <w:pPr>
        <w:spacing w:after="200" w:line="276" w:lineRule="auto"/>
        <w:jc w:val="both"/>
        <w:rPr>
          <w:rFonts w:ascii="Calibri" w:eastAsia="Calibri" w:hAnsi="Calibri" w:cs="Times New Roman"/>
          <w:lang w:val="pt-BR"/>
        </w:rPr>
      </w:pPr>
      <w:r w:rsidRPr="00CC24B5">
        <w:rPr>
          <w:rStyle w:val="Heading2Char"/>
        </w:rPr>
        <w:t>2.2</w:t>
      </w:r>
      <w:r>
        <w:rPr>
          <w:rStyle w:val="Heading2Char"/>
        </w:rPr>
        <w:t>.</w:t>
      </w:r>
      <w:r w:rsidRPr="00CC24B5">
        <w:rPr>
          <w:rStyle w:val="Heading2Char"/>
          <w:lang w:val="pt-BR"/>
        </w:rPr>
        <w:t xml:space="preserve"> </w:t>
      </w:r>
      <w:proofErr w:type="gramStart"/>
      <w:r w:rsidRPr="00CC24B5">
        <w:rPr>
          <w:rStyle w:val="Heading2Char"/>
          <w:lang w:val="pt-BR"/>
        </w:rPr>
        <w:t>Întreruperile</w:t>
      </w:r>
      <w:r w:rsidRPr="00CC24B5">
        <w:rPr>
          <w:rFonts w:ascii="Calibri" w:eastAsia="Calibri" w:hAnsi="Calibri" w:cs="Times New Roman"/>
          <w:lang w:val="pt-BR"/>
        </w:rPr>
        <w:t xml:space="preserve"> :</w:t>
      </w:r>
      <w:proofErr w:type="gramEnd"/>
      <w:r w:rsidRPr="00CC24B5">
        <w:rPr>
          <w:rFonts w:ascii="Calibri" w:eastAsia="Calibri" w:hAnsi="Calibri" w:cs="Times New Roman"/>
          <w:lang w:val="pt-BR"/>
        </w:rPr>
        <w:t xml:space="preserve"> Majoritatea analizoarelor din statiile de transformare sunt montate în celulele de MT ale transformatoarelor de putere, ele înregistrând doar întreruperile la nivel de statie, numărul  acestora fiind nesemnificativ.</w:t>
      </w:r>
    </w:p>
    <w:p w:rsidR="00CC24B5" w:rsidRPr="00CC24B5" w:rsidRDefault="00CC24B5" w:rsidP="00CC24B5">
      <w:pPr>
        <w:spacing w:after="200" w:line="276" w:lineRule="auto"/>
        <w:jc w:val="both"/>
        <w:rPr>
          <w:rFonts w:ascii="Calibri" w:eastAsia="Calibri" w:hAnsi="Calibri" w:cs="Times New Roman"/>
          <w:lang w:val="pt-BR"/>
        </w:rPr>
      </w:pPr>
      <w:r>
        <w:rPr>
          <w:rStyle w:val="Heading2Char"/>
          <w:lang w:val="pt-BR"/>
        </w:rPr>
        <w:t>2.3.</w:t>
      </w:r>
      <w:r w:rsidRPr="00CC24B5">
        <w:rPr>
          <w:rStyle w:val="Heading2Char"/>
          <w:lang w:val="pt-BR"/>
        </w:rPr>
        <w:t xml:space="preserve"> Golurile de tensiune</w:t>
      </w:r>
      <w:r w:rsidRPr="00CC24B5">
        <w:rPr>
          <w:rFonts w:ascii="Calibri" w:eastAsia="Calibri" w:hAnsi="Calibri" w:cs="Times New Roman"/>
          <w:lang w:val="pt-BR"/>
        </w:rPr>
        <w:t xml:space="preserve">  sunt provocate de defectele din retea. Goluri de tensiune au fost înregistrate în toate statiile de transformare. Pentru numărul de goluri de tensiune nu sunt impuse limite , însa numărul acestora poate  atinge valori de ordinul sutelor, mai ales  în cazul statiilor ce alimenteaza linii electrice aeriene. Din analiza datelor reiese că în 9% din statii s-au înregistrat mai putin de 100 de goluri, in 79% din statii  s-au inregistrat între 100 si 300 de goluri, iar în 12% din statii, peste 300 de goluri.</w:t>
      </w:r>
    </w:p>
    <w:p w:rsidR="00CC24B5" w:rsidRPr="00CC24B5" w:rsidRDefault="00CC24B5" w:rsidP="00CC24B5">
      <w:pPr>
        <w:spacing w:after="200" w:line="276" w:lineRule="auto"/>
        <w:rPr>
          <w:rFonts w:ascii="Calibri" w:eastAsia="Calibri" w:hAnsi="Calibri" w:cs="Times New Roman"/>
          <w:lang w:val="pt-BR"/>
        </w:rPr>
      </w:pPr>
      <w:r w:rsidRPr="00CC24B5">
        <w:rPr>
          <w:rFonts w:ascii="Calibri" w:eastAsia="Calibri" w:hAnsi="Calibri" w:cs="Times New Roman"/>
          <w:noProof/>
          <w:lang w:val="pt-BR"/>
        </w:rPr>
        <w:lastRenderedPageBreak/>
        <w:drawing>
          <wp:inline distT="0" distB="0" distL="0" distR="0" wp14:anchorId="10723F61" wp14:editId="09F62C61">
            <wp:extent cx="6645910" cy="1892935"/>
            <wp:effectExtent l="0" t="0" r="0" b="0"/>
            <wp:docPr id="11019132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1913219" name=""/>
                    <pic:cNvPicPr/>
                  </pic:nvPicPr>
                  <pic:blipFill>
                    <a:blip r:embed="rId8"/>
                    <a:stretch>
                      <a:fillRect/>
                    </a:stretch>
                  </pic:blipFill>
                  <pic:spPr>
                    <a:xfrm>
                      <a:off x="0" y="0"/>
                      <a:ext cx="6645910" cy="1892935"/>
                    </a:xfrm>
                    <a:prstGeom prst="rect">
                      <a:avLst/>
                    </a:prstGeom>
                  </pic:spPr>
                </pic:pic>
              </a:graphicData>
            </a:graphic>
          </wp:inline>
        </w:drawing>
      </w:r>
    </w:p>
    <w:p w:rsidR="00CC24B5" w:rsidRPr="00CC24B5" w:rsidRDefault="00CC24B5" w:rsidP="00CC24B5">
      <w:pPr>
        <w:spacing w:after="200" w:line="276" w:lineRule="auto"/>
        <w:ind w:left="360"/>
        <w:rPr>
          <w:rFonts w:ascii="Calibri" w:eastAsia="Calibri" w:hAnsi="Calibri" w:cs="Times New Roman"/>
          <w:lang w:val="pt-BR"/>
        </w:rPr>
      </w:pPr>
      <w:r w:rsidRPr="00CC24B5">
        <w:rPr>
          <w:rFonts w:ascii="Calibri" w:eastAsia="Calibri" w:hAnsi="Calibri" w:cs="Times New Roman"/>
          <w:noProof/>
        </w:rPr>
        <w:drawing>
          <wp:inline distT="0" distB="0" distL="0" distR="0" wp14:anchorId="44114B4C" wp14:editId="66827614">
            <wp:extent cx="6645910" cy="3118485"/>
            <wp:effectExtent l="0" t="0" r="0" b="0"/>
            <wp:docPr id="42513805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645910" cy="3118485"/>
                    </a:xfrm>
                    <a:prstGeom prst="rect">
                      <a:avLst/>
                    </a:prstGeom>
                    <a:noFill/>
                    <a:ln>
                      <a:noFill/>
                    </a:ln>
                  </pic:spPr>
                </pic:pic>
              </a:graphicData>
            </a:graphic>
          </wp:inline>
        </w:drawing>
      </w:r>
    </w:p>
    <w:p w:rsidR="00CC24B5" w:rsidRPr="00CC24B5" w:rsidRDefault="00CC24B5" w:rsidP="00CC24B5">
      <w:pPr>
        <w:pStyle w:val="Heading2"/>
        <w:rPr>
          <w:rFonts w:ascii="Times New Roman" w:eastAsia="Calibri" w:hAnsi="Times New Roman" w:cs="Times New Roman"/>
          <w:color w:val="auto"/>
          <w:sz w:val="24"/>
          <w:szCs w:val="24"/>
          <w:lang w:val="pt-BR"/>
        </w:rPr>
      </w:pPr>
      <w:r>
        <w:rPr>
          <w:rFonts w:eastAsia="Calibri"/>
          <w:b/>
          <w:bCs/>
          <w:lang w:val="pt-BR"/>
        </w:rPr>
        <w:lastRenderedPageBreak/>
        <w:t>2.3.</w:t>
      </w:r>
      <w:r w:rsidRPr="00CC24B5">
        <w:rPr>
          <w:rFonts w:eastAsia="Calibri"/>
          <w:lang w:val="pt-BR"/>
        </w:rPr>
        <w:t xml:space="preserve"> </w:t>
      </w:r>
      <w:r w:rsidRPr="00CC24B5">
        <w:rPr>
          <w:rFonts w:eastAsia="Calibri"/>
          <w:b/>
          <w:bCs/>
          <w:lang w:val="pt-BR"/>
        </w:rPr>
        <w:t>Supratensiunile</w:t>
      </w:r>
      <w:r w:rsidRPr="00CC24B5">
        <w:rPr>
          <w:rFonts w:eastAsia="Calibri"/>
          <w:lang w:val="pt-BR"/>
        </w:rPr>
        <w:t xml:space="preserve"> </w:t>
      </w:r>
      <w:r w:rsidRPr="00CC24B5">
        <w:rPr>
          <w:rFonts w:ascii="Times New Roman" w:eastAsia="Calibri" w:hAnsi="Times New Roman" w:cs="Times New Roman"/>
          <w:color w:val="auto"/>
          <w:sz w:val="24"/>
          <w:szCs w:val="24"/>
          <w:lang w:val="pt-BR"/>
        </w:rPr>
        <w:t>sunt provocate în cea mai mare parte de cresterea  tensiunii peste limitele admise în perioadele de gol de sarcina. În 2025 au fost înregistrate 211 supratensiuni în 10 statii , din care în 4 statii pe IT si în 6 statii pe MT. Din cele  211 supratensiuni, 181 ( peste 85%) au fost înregistrate pe partea de IT. Numarul redus de supratensiuni pe partea de MT se explică prin faptul ca în majoritatea statiilor ( cu cateva exceptii) sunt montate regulatoare automate de tensiune pe trafo</w:t>
      </w:r>
      <w:r>
        <w:rPr>
          <w:rFonts w:ascii="Times New Roman" w:eastAsia="Calibri" w:hAnsi="Times New Roman" w:cs="Times New Roman"/>
          <w:color w:val="auto"/>
          <w:sz w:val="24"/>
          <w:szCs w:val="24"/>
          <w:lang w:val="pt-BR"/>
        </w:rPr>
        <w:t>nsformator.</w:t>
      </w:r>
      <w:r w:rsidRPr="00CC24B5">
        <w:rPr>
          <w:rFonts w:ascii="Times New Roman" w:eastAsia="Calibri" w:hAnsi="Times New Roman" w:cs="Times New Roman"/>
          <w:color w:val="auto"/>
          <w:sz w:val="24"/>
          <w:szCs w:val="24"/>
          <w:lang w:val="pt-BR"/>
        </w:rPr>
        <w:t>.</w:t>
      </w:r>
    </w:p>
    <w:p w:rsidR="00CC24B5" w:rsidRPr="00CC24B5" w:rsidRDefault="00CC24B5" w:rsidP="00CC24B5">
      <w:pPr>
        <w:spacing w:after="200" w:line="276" w:lineRule="auto"/>
        <w:ind w:left="360"/>
        <w:rPr>
          <w:rFonts w:ascii="Calibri" w:eastAsia="Calibri" w:hAnsi="Calibri" w:cs="Times New Roman"/>
          <w:lang w:val="pt-BR"/>
        </w:rPr>
      </w:pPr>
      <w:r w:rsidRPr="00CC24B5">
        <w:rPr>
          <w:rFonts w:ascii="Calibri" w:eastAsia="Calibri" w:hAnsi="Calibri" w:cs="Times New Roman"/>
          <w:noProof/>
        </w:rPr>
        <w:drawing>
          <wp:inline distT="0" distB="0" distL="0" distR="0" wp14:anchorId="35F8C471" wp14:editId="23950176">
            <wp:extent cx="3765550" cy="2019300"/>
            <wp:effectExtent l="0" t="0" r="0" b="0"/>
            <wp:docPr id="157896141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765550" cy="2019300"/>
                    </a:xfrm>
                    <a:prstGeom prst="rect">
                      <a:avLst/>
                    </a:prstGeom>
                    <a:noFill/>
                    <a:ln>
                      <a:noFill/>
                    </a:ln>
                  </pic:spPr>
                </pic:pic>
              </a:graphicData>
            </a:graphic>
          </wp:inline>
        </w:drawing>
      </w:r>
    </w:p>
    <w:p w:rsidR="00CC24B5" w:rsidRPr="00CC24B5" w:rsidRDefault="00CC24B5" w:rsidP="00CC24B5">
      <w:pPr>
        <w:spacing w:after="200" w:line="276" w:lineRule="auto"/>
        <w:ind w:left="360"/>
        <w:jc w:val="both"/>
        <w:rPr>
          <w:rFonts w:ascii="Calibri" w:eastAsia="Calibri" w:hAnsi="Calibri" w:cs="Times New Roman"/>
          <w:lang w:val="pt-BR"/>
        </w:rPr>
      </w:pPr>
      <w:r w:rsidRPr="00CC24B5">
        <w:rPr>
          <w:rStyle w:val="Heading2Char"/>
          <w:lang w:val="pt-BR"/>
        </w:rPr>
        <w:t>1.1.3 Flickerul</w:t>
      </w:r>
      <w:r w:rsidRPr="00CC24B5">
        <w:rPr>
          <w:rFonts w:ascii="Calibri" w:eastAsia="Calibri" w:hAnsi="Calibri" w:cs="Times New Roman"/>
          <w:lang w:val="pt-BR"/>
        </w:rPr>
        <w:t xml:space="preserve"> este generat de fluctuatiile de tensiune care apar la  variatii mari de putere reactivă în special, dar si la variatii mari de putere activă. Aceste variatii mari de putere reactivă si activă se manifestă cu preponderență în timpul manevrelor de izolare defect la incidente, în timpul functionarii automatizarilor RAR si AAR, dar si la manevrele aferente lucrarilor planificate.</w:t>
      </w:r>
    </w:p>
    <w:p w:rsidR="00CC24B5" w:rsidRPr="00CC24B5" w:rsidRDefault="00CC24B5" w:rsidP="00CC24B5">
      <w:pPr>
        <w:spacing w:after="200" w:line="276" w:lineRule="auto"/>
        <w:ind w:left="360"/>
        <w:jc w:val="both"/>
        <w:rPr>
          <w:rFonts w:ascii="Calibri" w:eastAsia="Calibri" w:hAnsi="Calibri" w:cs="Times New Roman"/>
          <w:lang w:val="pt-BR"/>
        </w:rPr>
      </w:pPr>
      <w:r w:rsidRPr="00CC24B5">
        <w:rPr>
          <w:rFonts w:ascii="Calibri" w:eastAsia="Calibri" w:hAnsi="Calibri" w:cs="Times New Roman"/>
          <w:lang w:val="pt-BR"/>
        </w:rPr>
        <w:t xml:space="preserve">Pentru flicker s-au înregistrat depășiri ale limitelor normate în toate statiile,  depăsiri înregistrate pe parcursul a minim 7 saptamani si maxim 46 saptamani. </w:t>
      </w:r>
    </w:p>
    <w:p w:rsidR="00CC24B5" w:rsidRPr="00CC24B5" w:rsidRDefault="00CC24B5" w:rsidP="00CC24B5">
      <w:pPr>
        <w:spacing w:after="200" w:line="276" w:lineRule="auto"/>
        <w:ind w:left="360"/>
        <w:jc w:val="both"/>
        <w:rPr>
          <w:rFonts w:ascii="Calibri" w:eastAsia="Calibri" w:hAnsi="Calibri" w:cs="Times New Roman"/>
          <w:lang w:val="pt-BR"/>
        </w:rPr>
      </w:pPr>
      <w:r w:rsidRPr="00CC24B5">
        <w:rPr>
          <w:rStyle w:val="Heading2Char"/>
          <w:lang w:val="pt-BR"/>
        </w:rPr>
        <w:t xml:space="preserve">1.1.4 Armonicile </w:t>
      </w:r>
      <w:r w:rsidRPr="00CC24B5">
        <w:rPr>
          <w:rFonts w:ascii="Calibri" w:eastAsia="Calibri" w:hAnsi="Calibri" w:cs="Times New Roman"/>
          <w:lang w:val="pt-BR"/>
        </w:rPr>
        <w:t>sunt generate de receptoarele neliniare care contin componente electronice existente din statii, dar mai ales de cele existente la utilizatori.Datele pe care le avem la dispozitie nu ne permit sa identificam utilizatorii care generează armonici peste limitele admise.</w:t>
      </w:r>
    </w:p>
    <w:p w:rsidR="00CC24B5" w:rsidRPr="00CC24B5" w:rsidRDefault="00CC24B5" w:rsidP="00CC24B5">
      <w:pPr>
        <w:spacing w:after="200" w:line="276" w:lineRule="auto"/>
        <w:ind w:left="360"/>
        <w:jc w:val="both"/>
        <w:rPr>
          <w:rFonts w:ascii="Calibri" w:eastAsia="Calibri" w:hAnsi="Calibri" w:cs="Times New Roman"/>
          <w:lang w:val="pt-BR"/>
        </w:rPr>
      </w:pPr>
      <w:r w:rsidRPr="00CC24B5">
        <w:rPr>
          <w:rFonts w:ascii="Calibri" w:eastAsia="Calibri" w:hAnsi="Calibri" w:cs="Times New Roman"/>
          <w:lang w:val="pt-BR"/>
        </w:rPr>
        <w:t>Durata de manifestare a neconformitatii este redusă (în general 1 saptămâna),  ceea ce face dificilă identificarea sursei de perturbatie și indică un fenomen ocazional, nepermanent.</w:t>
      </w:r>
    </w:p>
    <w:p w:rsidR="00CC24B5" w:rsidRPr="00CC24B5" w:rsidRDefault="00CC24B5" w:rsidP="00CC24B5">
      <w:pPr>
        <w:spacing w:after="200" w:line="276" w:lineRule="auto"/>
        <w:ind w:left="360"/>
        <w:jc w:val="both"/>
        <w:rPr>
          <w:rFonts w:ascii="Calibri" w:eastAsia="Calibri" w:hAnsi="Calibri" w:cs="Times New Roman"/>
          <w:lang w:val="pt-BR"/>
        </w:rPr>
      </w:pPr>
      <w:r w:rsidRPr="00CC24B5">
        <w:rPr>
          <w:rFonts w:ascii="Calibri" w:eastAsia="Calibri" w:hAnsi="Calibri" w:cs="Times New Roman"/>
          <w:lang w:val="pt-BR"/>
        </w:rPr>
        <w:t>Este posibil ca individual utilizatorii să nu genereze armonici peste limitele admise, însă  efectul însumat să depășească  limitele admise.</w:t>
      </w:r>
    </w:p>
    <w:p w:rsidR="00CC24B5" w:rsidRPr="00CC24B5" w:rsidRDefault="00CC24B5" w:rsidP="00CC24B5">
      <w:pPr>
        <w:spacing w:after="200" w:line="276" w:lineRule="auto"/>
        <w:ind w:left="360"/>
        <w:jc w:val="both"/>
        <w:rPr>
          <w:rFonts w:ascii="Calibri" w:eastAsia="Calibri" w:hAnsi="Calibri" w:cs="Times New Roman"/>
        </w:rPr>
      </w:pPr>
      <w:r w:rsidRPr="00CC24B5">
        <w:rPr>
          <w:rFonts w:ascii="Calibri" w:eastAsia="Calibri" w:hAnsi="Calibri" w:cs="Times New Roman"/>
        </w:rPr>
        <w:t>Pe de altă parte, nu au fost înregistrate sesizări sau reclamații din partea utilizatorilor privind calitatea curbei de tensiune, care, în urma analizelor efectuate, să conducă la concluzia că neconformitatea semnalată are legătură cu depășirea limitelor pentru armonici.</w:t>
      </w:r>
    </w:p>
    <w:p w:rsidR="00CC24B5" w:rsidRPr="00CC24B5" w:rsidRDefault="00CC24B5" w:rsidP="00CC24B5">
      <w:pPr>
        <w:spacing w:after="200" w:line="276" w:lineRule="auto"/>
        <w:ind w:left="360"/>
        <w:jc w:val="both"/>
        <w:rPr>
          <w:rFonts w:ascii="Calibri" w:eastAsia="Calibri" w:hAnsi="Calibri" w:cs="Times New Roman"/>
          <w:lang w:val="pt-BR"/>
        </w:rPr>
      </w:pPr>
      <w:r w:rsidRPr="00CC24B5">
        <w:rPr>
          <w:rFonts w:ascii="Calibri" w:eastAsia="Calibri" w:hAnsi="Calibri" w:cs="Times New Roman"/>
          <w:lang w:val="pt-BR"/>
        </w:rPr>
        <w:t>Pentru armonici s-au înregistrat depăsiri ale limitelor normate în 16 de statii. În statiile Tehnoton si Vladeni s-au înregistrat depăsiri ale limitelor pentru un număr mai mare de armonici. Cele mai frecvente depăsiri s-au înregistrat pe armonicile pare 2 si 6, respectiv armonicile impare 15 si 21.</w:t>
      </w:r>
    </w:p>
    <w:p w:rsidR="00CC24B5" w:rsidRPr="00CC24B5" w:rsidRDefault="00CC24B5" w:rsidP="00CC24B5">
      <w:pPr>
        <w:spacing w:after="200" w:line="276" w:lineRule="auto"/>
        <w:ind w:left="360"/>
        <w:rPr>
          <w:rFonts w:ascii="Calibri" w:eastAsia="Calibri" w:hAnsi="Calibri" w:cs="Times New Roman"/>
          <w:lang w:val="pt-BR"/>
        </w:rPr>
      </w:pPr>
      <w:r w:rsidRPr="00CC24B5">
        <w:rPr>
          <w:rFonts w:ascii="Calibri" w:eastAsia="Calibri" w:hAnsi="Calibri" w:cs="Times New Roman"/>
          <w:noProof/>
        </w:rPr>
        <w:lastRenderedPageBreak/>
        <w:drawing>
          <wp:inline distT="0" distB="0" distL="0" distR="0" wp14:anchorId="2665E09D" wp14:editId="2D66AB39">
            <wp:extent cx="6068186" cy="2781300"/>
            <wp:effectExtent l="0" t="0" r="8890" b="0"/>
            <wp:docPr id="172861388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077704" cy="2785663"/>
                    </a:xfrm>
                    <a:prstGeom prst="rect">
                      <a:avLst/>
                    </a:prstGeom>
                    <a:noFill/>
                    <a:ln>
                      <a:noFill/>
                    </a:ln>
                  </pic:spPr>
                </pic:pic>
              </a:graphicData>
            </a:graphic>
          </wp:inline>
        </w:drawing>
      </w:r>
    </w:p>
    <w:p w:rsidR="00CC24B5" w:rsidRPr="00CC24B5" w:rsidRDefault="00CC24B5" w:rsidP="00CC24B5">
      <w:pPr>
        <w:spacing w:after="200" w:line="276" w:lineRule="auto"/>
        <w:ind w:left="360"/>
        <w:rPr>
          <w:rFonts w:ascii="Calibri" w:eastAsia="Calibri" w:hAnsi="Calibri" w:cs="Times New Roman"/>
          <w:lang w:val="pt-BR"/>
        </w:rPr>
      </w:pPr>
      <w:r w:rsidRPr="00CC24B5">
        <w:rPr>
          <w:rFonts w:ascii="Calibri" w:eastAsia="Calibri" w:hAnsi="Calibri" w:cs="Times New Roman"/>
          <w:lang w:val="pt-BR"/>
        </w:rPr>
        <w:t>Pentru factorul total de distorsiune s-a înregistrat depăsiri în 10 statii, cu exceptia statiei Conexiuni, depăsirile înregistrându-se pentru 1 săptămână.</w:t>
      </w:r>
    </w:p>
    <w:p w:rsidR="00CC24B5" w:rsidRPr="00CC24B5" w:rsidRDefault="00CC24B5" w:rsidP="00CC24B5">
      <w:pPr>
        <w:spacing w:after="200" w:line="276" w:lineRule="auto"/>
        <w:ind w:left="360"/>
        <w:rPr>
          <w:rFonts w:ascii="Calibri" w:eastAsia="Calibri" w:hAnsi="Calibri" w:cs="Times New Roman"/>
          <w:lang w:val="pt-BR"/>
        </w:rPr>
      </w:pPr>
      <w:r w:rsidRPr="00CC24B5">
        <w:rPr>
          <w:rFonts w:ascii="Calibri" w:eastAsia="Calibri" w:hAnsi="Calibri" w:cs="Times New Roman"/>
          <w:noProof/>
        </w:rPr>
        <w:drawing>
          <wp:inline distT="0" distB="0" distL="0" distR="0" wp14:anchorId="56C3686C" wp14:editId="2189D259">
            <wp:extent cx="3101340" cy="1863617"/>
            <wp:effectExtent l="0" t="0" r="3810" b="3810"/>
            <wp:docPr id="147323788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111544" cy="1869749"/>
                    </a:xfrm>
                    <a:prstGeom prst="rect">
                      <a:avLst/>
                    </a:prstGeom>
                    <a:noFill/>
                    <a:ln>
                      <a:noFill/>
                    </a:ln>
                  </pic:spPr>
                </pic:pic>
              </a:graphicData>
            </a:graphic>
          </wp:inline>
        </w:drawing>
      </w:r>
    </w:p>
    <w:p w:rsidR="00CC24B5" w:rsidRPr="00CC24B5" w:rsidRDefault="00CC24B5" w:rsidP="00CC24B5">
      <w:pPr>
        <w:spacing w:after="200" w:line="276" w:lineRule="auto"/>
        <w:ind w:left="360"/>
        <w:jc w:val="both"/>
        <w:rPr>
          <w:rFonts w:ascii="Calibri" w:eastAsia="Calibri" w:hAnsi="Calibri" w:cs="Times New Roman"/>
          <w:lang w:val="pt-BR"/>
        </w:rPr>
      </w:pPr>
      <w:r w:rsidRPr="00CC24B5">
        <w:rPr>
          <w:rStyle w:val="Heading2Char"/>
          <w:lang w:val="pt-BR"/>
        </w:rPr>
        <w:t>1.1.5 Nesimetria</w:t>
      </w:r>
      <w:r w:rsidRPr="00CC24B5">
        <w:rPr>
          <w:rFonts w:ascii="Calibri" w:eastAsia="Calibri" w:hAnsi="Calibri" w:cs="Times New Roman"/>
          <w:lang w:val="pt-BR"/>
        </w:rPr>
        <w:t xml:space="preserve"> poate fi generată de mai multi factori :</w:t>
      </w:r>
    </w:p>
    <w:p w:rsidR="00CC24B5" w:rsidRPr="00CC24B5" w:rsidRDefault="00CC24B5" w:rsidP="00CC24B5">
      <w:pPr>
        <w:spacing w:after="120" w:line="276" w:lineRule="auto"/>
        <w:ind w:left="360"/>
        <w:jc w:val="both"/>
        <w:rPr>
          <w:rFonts w:ascii="Calibri" w:eastAsia="Calibri" w:hAnsi="Calibri" w:cs="Times New Roman"/>
          <w:lang w:val="pt-BR"/>
        </w:rPr>
      </w:pPr>
      <w:r w:rsidRPr="00CC24B5">
        <w:rPr>
          <w:rFonts w:ascii="Calibri" w:eastAsia="Calibri" w:hAnsi="Calibri" w:cs="Times New Roman"/>
          <w:lang w:val="pt-BR"/>
        </w:rPr>
        <w:t>-Repartizarea neuniformă a consumatorilor monofazati în rețeaua de JT, provocând nesimetrii de tensiune  care migreză către rețeaua de MT;</w:t>
      </w:r>
    </w:p>
    <w:p w:rsidR="00CC24B5" w:rsidRPr="00CC24B5" w:rsidRDefault="00CC24B5" w:rsidP="00CC24B5">
      <w:pPr>
        <w:spacing w:after="120" w:line="276" w:lineRule="auto"/>
        <w:ind w:left="360"/>
        <w:jc w:val="both"/>
        <w:rPr>
          <w:rFonts w:ascii="Calibri" w:eastAsia="Calibri" w:hAnsi="Calibri" w:cs="Times New Roman"/>
          <w:lang w:val="pt-BR"/>
        </w:rPr>
      </w:pPr>
      <w:r w:rsidRPr="00CC24B5">
        <w:rPr>
          <w:rFonts w:ascii="Calibri" w:eastAsia="Calibri" w:hAnsi="Calibri" w:cs="Times New Roman"/>
          <w:lang w:val="pt-BR"/>
        </w:rPr>
        <w:t xml:space="preserve">-Regimuri de funcționare variabile ale consumatorilor din JT  care pot absorbi putere în mod inegal pe faze, provocând nesimetrii de tensiune  care migrează către rețeaua de MT; </w:t>
      </w:r>
    </w:p>
    <w:p w:rsidR="00CC24B5" w:rsidRPr="00CC24B5" w:rsidRDefault="00CC24B5" w:rsidP="00CC24B5">
      <w:pPr>
        <w:spacing w:after="120" w:line="276" w:lineRule="auto"/>
        <w:ind w:left="360"/>
        <w:jc w:val="both"/>
        <w:rPr>
          <w:rFonts w:ascii="Calibri" w:eastAsia="Calibri" w:hAnsi="Calibri" w:cs="Times New Roman"/>
          <w:lang w:val="pt-BR"/>
        </w:rPr>
      </w:pPr>
      <w:r w:rsidRPr="00CC24B5">
        <w:rPr>
          <w:rFonts w:ascii="Calibri" w:eastAsia="Calibri" w:hAnsi="Calibri" w:cs="Times New Roman"/>
          <w:lang w:val="pt-BR"/>
        </w:rPr>
        <w:t>-Prosumatorii din reteaua de JT care pot injecta putere în mod inegal pe faze, provocând nesimetrii de tensiune care migrează către reteaua de MT;</w:t>
      </w:r>
    </w:p>
    <w:p w:rsidR="00CC24B5" w:rsidRPr="00CC24B5" w:rsidRDefault="00CC24B5" w:rsidP="00CC24B5">
      <w:pPr>
        <w:spacing w:after="120" w:line="276" w:lineRule="auto"/>
        <w:ind w:left="426"/>
        <w:jc w:val="both"/>
        <w:rPr>
          <w:rFonts w:ascii="Calibri" w:eastAsia="Calibri" w:hAnsi="Calibri" w:cs="Times New Roman"/>
          <w:color w:val="000000"/>
        </w:rPr>
      </w:pPr>
      <w:r w:rsidRPr="00CC24B5">
        <w:rPr>
          <w:rFonts w:ascii="Calibri" w:eastAsia="Calibri" w:hAnsi="Calibri" w:cs="Times New Roman"/>
          <w:color w:val="000000"/>
          <w:lang w:val="pt-BR"/>
        </w:rPr>
        <w:t>-Racordarea de sarcini mari bifazate sau monofazate direct în MT  (cuptoarele electrice cu inducție, instalațiile de sudură industriale) si racordarea de sarcini mari bifazate direct in reteaua de 110 kV ( sistemele de tracțiune feroviară electrificată) care consumă puteri mari de pe o singură fază sau între două faze</w:t>
      </w:r>
      <w:r w:rsidRPr="00CC24B5">
        <w:rPr>
          <w:rFonts w:ascii="Calibri" w:eastAsia="Calibri" w:hAnsi="Calibri" w:cs="Times New Roman"/>
          <w:color w:val="000000"/>
        </w:rPr>
        <w:t>;</w:t>
      </w:r>
    </w:p>
    <w:p w:rsidR="00CC24B5" w:rsidRPr="00CC24B5" w:rsidRDefault="00CC24B5" w:rsidP="00CC24B5">
      <w:pPr>
        <w:spacing w:after="120" w:line="276" w:lineRule="auto"/>
        <w:ind w:firstLine="360"/>
        <w:jc w:val="both"/>
        <w:rPr>
          <w:rFonts w:ascii="Calibri" w:eastAsia="Calibri" w:hAnsi="Calibri" w:cs="Times New Roman"/>
          <w:lang w:val="pt-BR"/>
        </w:rPr>
      </w:pPr>
      <w:r w:rsidRPr="00CC24B5">
        <w:rPr>
          <w:rFonts w:ascii="Calibri" w:eastAsia="Calibri" w:hAnsi="Calibri" w:cs="Times New Roman"/>
          <w:lang w:val="pt-BR"/>
        </w:rPr>
        <w:lastRenderedPageBreak/>
        <w:t xml:space="preserve">-Defectele din retea; </w:t>
      </w:r>
    </w:p>
    <w:p w:rsidR="00CC24B5" w:rsidRPr="00CC24B5" w:rsidRDefault="00CC24B5" w:rsidP="00CC24B5">
      <w:pPr>
        <w:spacing w:after="120" w:line="276" w:lineRule="auto"/>
        <w:ind w:left="360"/>
        <w:rPr>
          <w:rFonts w:ascii="Calibri" w:eastAsia="Calibri" w:hAnsi="Calibri" w:cs="Times New Roman"/>
          <w:lang w:val="pt-BR"/>
        </w:rPr>
      </w:pPr>
      <w:r w:rsidRPr="00CC24B5">
        <w:rPr>
          <w:rFonts w:ascii="Calibri" w:eastAsia="Calibri" w:hAnsi="Calibri" w:cs="Times New Roman"/>
          <w:lang w:val="pt-BR"/>
        </w:rPr>
        <w:t>-Functionare în regimuri nedorite accidentale cauzate de factori externi.</w:t>
      </w:r>
    </w:p>
    <w:p w:rsidR="00CC24B5" w:rsidRPr="00CC24B5" w:rsidRDefault="00CC24B5" w:rsidP="00CC24B5">
      <w:pPr>
        <w:spacing w:after="200" w:line="276" w:lineRule="auto"/>
        <w:ind w:left="360"/>
        <w:jc w:val="both"/>
        <w:rPr>
          <w:rFonts w:ascii="Calibri" w:eastAsia="Calibri" w:hAnsi="Calibri" w:cs="Times New Roman"/>
          <w:lang w:val="pt-BR"/>
        </w:rPr>
      </w:pPr>
      <w:r w:rsidRPr="00CC24B5">
        <w:rPr>
          <w:rFonts w:ascii="Calibri" w:eastAsia="Calibri" w:hAnsi="Calibri" w:cs="Times New Roman"/>
          <w:lang w:val="pt-BR"/>
        </w:rPr>
        <w:t>Durata de manifestare a nesimetriei fiind redusă (în majoritatea cazurilor 1 săptămână),  indică un fenomen ocazional, nepermanent, putând  concluziona că factorii principali care au generat nesimetriile sunt defectele din retea, respectiv functionările în regimuri nedorite, accidentale, provocate de factori externi.</w:t>
      </w:r>
    </w:p>
    <w:p w:rsidR="00CC24B5" w:rsidRPr="00CC24B5" w:rsidRDefault="00CC24B5" w:rsidP="00CC24B5">
      <w:pPr>
        <w:spacing w:after="200" w:line="276" w:lineRule="auto"/>
        <w:ind w:left="360"/>
        <w:jc w:val="both"/>
        <w:rPr>
          <w:rFonts w:ascii="Calibri" w:eastAsia="Calibri" w:hAnsi="Calibri" w:cs="Times New Roman"/>
          <w:lang w:val="pt-BR"/>
        </w:rPr>
      </w:pPr>
      <w:r w:rsidRPr="00CC24B5">
        <w:rPr>
          <w:rFonts w:ascii="Calibri" w:eastAsia="Calibri" w:hAnsi="Calibri" w:cs="Times New Roman"/>
          <w:lang w:val="pt-BR"/>
        </w:rPr>
        <w:t xml:space="preserve">Pentru factorul de nesimetrie de secventă negativă s-au înregistrat depăsiri  în 35 de statii.  În majoritatea statiilor depăsirea factorului de nesimetrie s-a înregistrat pe 1 săptămână. </w:t>
      </w:r>
    </w:p>
    <w:p w:rsidR="00CC24B5" w:rsidRPr="00CC24B5" w:rsidRDefault="00CC24B5" w:rsidP="00CC24B5">
      <w:pPr>
        <w:spacing w:after="200" w:line="276" w:lineRule="auto"/>
        <w:ind w:left="360"/>
        <w:jc w:val="both"/>
        <w:rPr>
          <w:rFonts w:ascii="Calibri" w:eastAsia="Calibri" w:hAnsi="Calibri" w:cs="Times New Roman"/>
          <w:lang w:val="pt-BR"/>
        </w:rPr>
      </w:pPr>
      <w:r w:rsidRPr="00CC24B5">
        <w:rPr>
          <w:rFonts w:ascii="Calibri" w:eastAsia="Calibri" w:hAnsi="Calibri" w:cs="Times New Roman"/>
          <w:noProof/>
        </w:rPr>
        <w:lastRenderedPageBreak/>
        <w:drawing>
          <wp:inline distT="0" distB="0" distL="0" distR="0" wp14:anchorId="3F577560" wp14:editId="193EC3F0">
            <wp:extent cx="3535680" cy="6591300"/>
            <wp:effectExtent l="0" t="0" r="0" b="0"/>
            <wp:docPr id="162925064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535680" cy="6591300"/>
                    </a:xfrm>
                    <a:prstGeom prst="rect">
                      <a:avLst/>
                    </a:prstGeom>
                    <a:noFill/>
                    <a:ln>
                      <a:noFill/>
                    </a:ln>
                  </pic:spPr>
                </pic:pic>
              </a:graphicData>
            </a:graphic>
          </wp:inline>
        </w:drawing>
      </w:r>
    </w:p>
    <w:p w:rsidR="00CC24B5" w:rsidRPr="00CC24B5" w:rsidRDefault="00CC24B5" w:rsidP="00CC24B5">
      <w:pPr>
        <w:spacing w:after="200" w:line="276" w:lineRule="auto"/>
        <w:jc w:val="both"/>
        <w:rPr>
          <w:rFonts w:ascii="Calibri" w:eastAsia="Calibri" w:hAnsi="Calibri" w:cs="Times New Roman"/>
          <w:b/>
          <w:lang w:val="pt-BR"/>
        </w:rPr>
      </w:pPr>
      <w:r w:rsidRPr="00CC24B5">
        <w:rPr>
          <w:rFonts w:ascii="Calibri" w:eastAsia="Calibri" w:hAnsi="Calibri" w:cs="Times New Roman"/>
          <w:b/>
          <w:lang w:val="pt-BR"/>
        </w:rPr>
        <w:t>1.2 Rezultatele analizei datelor de calitate din posturile de transformare :</w:t>
      </w:r>
    </w:p>
    <w:p w:rsidR="00CC24B5" w:rsidRPr="00CC24B5" w:rsidRDefault="00CC24B5" w:rsidP="00CC24B5">
      <w:pPr>
        <w:spacing w:after="200" w:line="276" w:lineRule="auto"/>
        <w:jc w:val="both"/>
        <w:rPr>
          <w:rFonts w:ascii="Calibri" w:eastAsia="Calibri" w:hAnsi="Calibri" w:cs="Times New Roman"/>
          <w:bCs/>
          <w:lang w:val="pt-BR"/>
        </w:rPr>
      </w:pPr>
      <w:r w:rsidRPr="00CC24B5">
        <w:rPr>
          <w:rFonts w:ascii="Calibri" w:eastAsia="Calibri" w:hAnsi="Calibri" w:cs="Times New Roman"/>
          <w:bCs/>
          <w:lang w:val="pt-BR"/>
        </w:rPr>
        <w:t>Pentru anul 2025 au fost analizate datele din 3600 de contoare de balanță smart, montate în posturile de transformare din gestiunea DELGAZ. Aceste contoare sunt capabile sa înregistreze următorii parametri de calitate a energiei electrice: tensiunea, întreruperile tranzitorii, întreruperile de scurtă durată, întreruperile de lungă durată, supratensiunile, golurile de tensiune.</w:t>
      </w:r>
    </w:p>
    <w:p w:rsidR="00CC24B5" w:rsidRPr="00CC24B5" w:rsidRDefault="00CC24B5" w:rsidP="00CC24B5">
      <w:pPr>
        <w:spacing w:after="200" w:line="276" w:lineRule="auto"/>
        <w:jc w:val="both"/>
        <w:rPr>
          <w:rFonts w:ascii="Calibri" w:eastAsia="Calibri" w:hAnsi="Calibri" w:cs="Times New Roman"/>
          <w:bCs/>
          <w:lang w:val="sv-SE"/>
        </w:rPr>
      </w:pPr>
      <w:r w:rsidRPr="00CC24B5">
        <w:rPr>
          <w:rFonts w:ascii="Calibri" w:eastAsia="Calibri" w:hAnsi="Calibri" w:cs="Times New Roman"/>
          <w:b/>
          <w:lang w:val="sv-SE"/>
        </w:rPr>
        <w:lastRenderedPageBreak/>
        <w:t>1.2.1 Tensiunea</w:t>
      </w:r>
      <w:r w:rsidRPr="00CC24B5">
        <w:rPr>
          <w:rFonts w:ascii="Calibri" w:eastAsia="Calibri" w:hAnsi="Calibri" w:cs="Times New Roman"/>
          <w:bCs/>
          <w:lang w:val="sv-SE"/>
        </w:rPr>
        <w:t xml:space="preserve"> : În 2290 de PT-uri (64%),  tensiunea  este în limitele -10% / +5% , iar în 1310 PT-uri (36%),  tensiunea este în plaja +5% / +10%.</w:t>
      </w:r>
    </w:p>
    <w:p w:rsidR="00CC24B5" w:rsidRPr="00CC24B5" w:rsidRDefault="00CC24B5" w:rsidP="00CC24B5">
      <w:pPr>
        <w:spacing w:after="200" w:line="276" w:lineRule="auto"/>
        <w:rPr>
          <w:rFonts w:ascii="Calibri" w:eastAsia="Calibri" w:hAnsi="Calibri" w:cs="Times New Roman"/>
          <w:bCs/>
          <w:lang w:val="sv-SE"/>
        </w:rPr>
      </w:pPr>
      <w:r w:rsidRPr="00CC24B5">
        <w:rPr>
          <w:rFonts w:ascii="Calibri" w:eastAsia="Calibri" w:hAnsi="Calibri" w:cs="Times New Roman"/>
          <w:bCs/>
          <w:lang w:val="sv-SE"/>
        </w:rPr>
        <w:t xml:space="preserve"> </w:t>
      </w:r>
      <w:r w:rsidRPr="00CC24B5">
        <w:rPr>
          <w:rFonts w:ascii="Calibri" w:eastAsia="Calibri" w:hAnsi="Calibri" w:cs="Times New Roman"/>
          <w:bCs/>
          <w:noProof/>
          <w:lang w:val="sv-SE"/>
        </w:rPr>
        <w:drawing>
          <wp:inline distT="0" distB="0" distL="0" distR="0" wp14:anchorId="17EF7C6C" wp14:editId="5984F17B">
            <wp:extent cx="6645910" cy="2060575"/>
            <wp:effectExtent l="0" t="0" r="0" b="0"/>
            <wp:docPr id="10403773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0377311" name=""/>
                    <pic:cNvPicPr/>
                  </pic:nvPicPr>
                  <pic:blipFill>
                    <a:blip r:embed="rId14"/>
                    <a:stretch>
                      <a:fillRect/>
                    </a:stretch>
                  </pic:blipFill>
                  <pic:spPr>
                    <a:xfrm>
                      <a:off x="0" y="0"/>
                      <a:ext cx="6645910" cy="2060575"/>
                    </a:xfrm>
                    <a:prstGeom prst="rect">
                      <a:avLst/>
                    </a:prstGeom>
                  </pic:spPr>
                </pic:pic>
              </a:graphicData>
            </a:graphic>
          </wp:inline>
        </w:drawing>
      </w:r>
    </w:p>
    <w:p w:rsidR="00CC24B5" w:rsidRPr="00CC24B5" w:rsidRDefault="00CC24B5" w:rsidP="00CC24B5">
      <w:pPr>
        <w:spacing w:after="200" w:line="276" w:lineRule="auto"/>
        <w:rPr>
          <w:rFonts w:ascii="Calibri" w:eastAsia="Calibri" w:hAnsi="Calibri" w:cs="Times New Roman"/>
          <w:bCs/>
          <w:lang w:val="sv-SE"/>
        </w:rPr>
      </w:pPr>
    </w:p>
    <w:p w:rsidR="00CC24B5" w:rsidRPr="00CC24B5" w:rsidRDefault="00CC24B5" w:rsidP="00CC24B5">
      <w:pPr>
        <w:spacing w:after="200" w:line="276" w:lineRule="auto"/>
        <w:jc w:val="both"/>
        <w:rPr>
          <w:rFonts w:ascii="Calibri" w:eastAsia="Calibri" w:hAnsi="Calibri" w:cs="Times New Roman"/>
          <w:bCs/>
          <w:lang w:val="sv-SE"/>
        </w:rPr>
      </w:pPr>
      <w:r w:rsidRPr="00CC24B5">
        <w:rPr>
          <w:rFonts w:ascii="Calibri" w:eastAsia="Calibri" w:hAnsi="Calibri" w:cs="Times New Roman"/>
          <w:bCs/>
          <w:lang w:val="sv-SE"/>
        </w:rPr>
        <w:t xml:space="preserve"> </w:t>
      </w:r>
      <w:r w:rsidRPr="00CC24B5">
        <w:rPr>
          <w:rFonts w:ascii="Calibri" w:eastAsia="Calibri" w:hAnsi="Calibri" w:cs="Times New Roman"/>
          <w:b/>
          <w:lang w:val="sv-SE"/>
        </w:rPr>
        <w:t>1.2.2 Întreruperi tranzitorii :</w:t>
      </w:r>
      <w:r w:rsidRPr="00CC24B5">
        <w:rPr>
          <w:rFonts w:ascii="Calibri" w:eastAsia="Calibri" w:hAnsi="Calibri" w:cs="Times New Roman"/>
          <w:bCs/>
          <w:lang w:val="sv-SE"/>
        </w:rPr>
        <w:t xml:space="preserve"> În 3580 de PT-uri (99%) s-au înregistrat până în 10 întreruperi tranzitorii, iar în 21 de PT-uri (1%) s-au înregistrat peste 10 întreruperi tranzitorii. Întreruperile tranzitorii înregistrate provin din reteaua de MT si IT, întrucât în reteaua de JT nu sunt montate automatizari si echipamente telecomandate.</w:t>
      </w:r>
    </w:p>
    <w:p w:rsidR="00CC24B5" w:rsidRPr="00CC24B5" w:rsidRDefault="00CC24B5" w:rsidP="00CC24B5">
      <w:pPr>
        <w:spacing w:after="200" w:line="276" w:lineRule="auto"/>
        <w:rPr>
          <w:rFonts w:ascii="Calibri" w:eastAsia="Calibri" w:hAnsi="Calibri" w:cs="Times New Roman"/>
          <w:bCs/>
          <w:lang w:val="sv-SE"/>
        </w:rPr>
      </w:pPr>
      <w:r w:rsidRPr="00CC24B5">
        <w:rPr>
          <w:rFonts w:ascii="Calibri" w:eastAsia="Calibri" w:hAnsi="Calibri" w:cs="Times New Roman"/>
          <w:bCs/>
          <w:noProof/>
          <w:lang w:val="sv-SE"/>
        </w:rPr>
        <w:drawing>
          <wp:inline distT="0" distB="0" distL="0" distR="0" wp14:anchorId="5C30E901" wp14:editId="5B67A5BA">
            <wp:extent cx="6645910" cy="1801495"/>
            <wp:effectExtent l="0" t="0" r="0" b="0"/>
            <wp:docPr id="13987466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8746697" name=""/>
                    <pic:cNvPicPr/>
                  </pic:nvPicPr>
                  <pic:blipFill>
                    <a:blip r:embed="rId15"/>
                    <a:stretch>
                      <a:fillRect/>
                    </a:stretch>
                  </pic:blipFill>
                  <pic:spPr>
                    <a:xfrm>
                      <a:off x="0" y="0"/>
                      <a:ext cx="6645910" cy="1801495"/>
                    </a:xfrm>
                    <a:prstGeom prst="rect">
                      <a:avLst/>
                    </a:prstGeom>
                  </pic:spPr>
                </pic:pic>
              </a:graphicData>
            </a:graphic>
          </wp:inline>
        </w:drawing>
      </w:r>
    </w:p>
    <w:p w:rsidR="00CC24B5" w:rsidRPr="00CC24B5" w:rsidRDefault="00CC24B5" w:rsidP="00CC24B5">
      <w:pPr>
        <w:spacing w:after="200" w:line="276" w:lineRule="auto"/>
        <w:jc w:val="both"/>
        <w:rPr>
          <w:rFonts w:ascii="Calibri" w:eastAsia="Calibri" w:hAnsi="Calibri" w:cs="Times New Roman"/>
          <w:bCs/>
          <w:lang w:val="pt-BR"/>
        </w:rPr>
      </w:pPr>
      <w:r w:rsidRPr="00CC24B5">
        <w:rPr>
          <w:rFonts w:ascii="Calibri" w:eastAsia="Calibri" w:hAnsi="Calibri" w:cs="Times New Roman"/>
          <w:b/>
          <w:lang w:val="sv-SE"/>
        </w:rPr>
        <w:t>1.2.3 Întreruperi de scurtă durată :</w:t>
      </w:r>
      <w:r w:rsidRPr="00CC24B5">
        <w:rPr>
          <w:rFonts w:ascii="Calibri" w:eastAsia="Calibri" w:hAnsi="Calibri" w:cs="Times New Roman"/>
          <w:bCs/>
          <w:lang w:val="sv-SE"/>
        </w:rPr>
        <w:t xml:space="preserve"> În 3082 de PT-uri (86%) s-au înregistrat până în 10 întreruperi de scurtă durată, iar în 519 PT-uri (14%) s-au înregistrat mai mult de 10 întreruperi de scurtă durata. </w:t>
      </w:r>
      <w:r w:rsidRPr="00CC24B5">
        <w:rPr>
          <w:rFonts w:ascii="Calibri" w:eastAsia="Calibri" w:hAnsi="Calibri" w:cs="Times New Roman"/>
          <w:bCs/>
          <w:lang w:val="pt-BR"/>
        </w:rPr>
        <w:t>Întreruperile de scurtă durată înregistrate provin din reteaua de MT si IT, întrucât în reteaua de JT nu sunt montate automatizari și echipamente telecomandate. De asemenea o parte din întreruperile de scurtă durată sunt înregistrate ca parte din manevrele de izolare defect în cazul incidentelor,  manevrele de retragere din exploatare a unei instalatii pentru executarea unei lucrari sau  manevrele de revenire la schema normală dupa executarea unei lucrări.</w:t>
      </w:r>
    </w:p>
    <w:p w:rsidR="00CC24B5" w:rsidRPr="00CC24B5" w:rsidRDefault="00CC24B5" w:rsidP="00CC24B5">
      <w:pPr>
        <w:spacing w:after="200" w:line="276" w:lineRule="auto"/>
        <w:rPr>
          <w:rFonts w:ascii="Calibri" w:eastAsia="Calibri" w:hAnsi="Calibri" w:cs="Times New Roman"/>
          <w:bCs/>
          <w:lang w:val="sv-SE"/>
        </w:rPr>
      </w:pPr>
      <w:r w:rsidRPr="00CC24B5">
        <w:rPr>
          <w:rFonts w:ascii="Calibri" w:eastAsia="Calibri" w:hAnsi="Calibri" w:cs="Times New Roman"/>
          <w:bCs/>
          <w:noProof/>
          <w:lang w:val="sv-SE"/>
        </w:rPr>
        <w:lastRenderedPageBreak/>
        <w:drawing>
          <wp:inline distT="0" distB="0" distL="0" distR="0" wp14:anchorId="324DACA9" wp14:editId="68E58BEF">
            <wp:extent cx="6645910" cy="1587500"/>
            <wp:effectExtent l="0" t="0" r="0" b="0"/>
            <wp:docPr id="20232030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3203063" name=""/>
                    <pic:cNvPicPr/>
                  </pic:nvPicPr>
                  <pic:blipFill>
                    <a:blip r:embed="rId16"/>
                    <a:stretch>
                      <a:fillRect/>
                    </a:stretch>
                  </pic:blipFill>
                  <pic:spPr>
                    <a:xfrm>
                      <a:off x="0" y="0"/>
                      <a:ext cx="6645910" cy="1587500"/>
                    </a:xfrm>
                    <a:prstGeom prst="rect">
                      <a:avLst/>
                    </a:prstGeom>
                  </pic:spPr>
                </pic:pic>
              </a:graphicData>
            </a:graphic>
          </wp:inline>
        </w:drawing>
      </w:r>
    </w:p>
    <w:p w:rsidR="00CC24B5" w:rsidRPr="00CC24B5" w:rsidRDefault="00CC24B5" w:rsidP="00CC24B5">
      <w:pPr>
        <w:spacing w:after="200" w:line="360" w:lineRule="auto"/>
        <w:ind w:left="360"/>
        <w:rPr>
          <w:rFonts w:ascii="Calibri" w:eastAsia="Calibri" w:hAnsi="Calibri" w:cs="Times New Roman"/>
          <w:b/>
          <w:lang w:val="sv-SE"/>
        </w:rPr>
      </w:pPr>
    </w:p>
    <w:p w:rsidR="00CC24B5" w:rsidRPr="00CC24B5" w:rsidRDefault="00CC24B5" w:rsidP="00CC24B5">
      <w:pPr>
        <w:spacing w:after="200" w:line="360" w:lineRule="auto"/>
        <w:ind w:left="360"/>
        <w:jc w:val="both"/>
        <w:rPr>
          <w:rFonts w:ascii="Calibri" w:eastAsia="Calibri" w:hAnsi="Calibri" w:cs="Times New Roman"/>
          <w:b/>
          <w:lang w:val="sv-SE"/>
        </w:rPr>
      </w:pPr>
      <w:r w:rsidRPr="00CC24B5">
        <w:rPr>
          <w:rFonts w:ascii="Calibri" w:eastAsia="Calibri" w:hAnsi="Calibri" w:cs="Times New Roman"/>
          <w:b/>
          <w:lang w:val="sv-SE"/>
        </w:rPr>
        <w:t xml:space="preserve">1.2.4 Întreruperi de lungă durată : </w:t>
      </w:r>
      <w:r w:rsidRPr="00CC24B5">
        <w:rPr>
          <w:rFonts w:ascii="Calibri" w:eastAsia="Calibri" w:hAnsi="Calibri" w:cs="Times New Roman"/>
          <w:bCs/>
          <w:lang w:val="sv-SE"/>
        </w:rPr>
        <w:t xml:space="preserve">În 3205 de PT-uri (89%) s-au înregistrat până în 10 întreruperi de lungă durată iar în 396 de PT-uri (11%) s-au înregistrat mai mult de 10 întreruperi de lungă durată. O parte din întreruperile de lungă durată provin din reteaua de MT si IT, iar cealaltă parte din deranjamentele colective si lucrarile planificate/accidentale executate în reteaua de JT. </w:t>
      </w:r>
    </w:p>
    <w:p w:rsidR="00CC24B5" w:rsidRPr="00CC24B5" w:rsidRDefault="00CC24B5" w:rsidP="00CC24B5">
      <w:pPr>
        <w:spacing w:after="200" w:line="360" w:lineRule="auto"/>
        <w:ind w:left="360"/>
        <w:rPr>
          <w:rFonts w:ascii="Calibri" w:eastAsia="Calibri" w:hAnsi="Calibri" w:cs="Times New Roman"/>
          <w:b/>
          <w:lang w:val="sv-SE"/>
        </w:rPr>
      </w:pPr>
      <w:r w:rsidRPr="00CC24B5">
        <w:rPr>
          <w:rFonts w:ascii="Calibri" w:eastAsia="Calibri" w:hAnsi="Calibri" w:cs="Times New Roman"/>
          <w:b/>
          <w:noProof/>
          <w:lang w:val="sv-SE"/>
        </w:rPr>
        <w:drawing>
          <wp:inline distT="0" distB="0" distL="0" distR="0" wp14:anchorId="49364709" wp14:editId="424FFDBC">
            <wp:extent cx="6645910" cy="1762125"/>
            <wp:effectExtent l="0" t="0" r="0" b="0"/>
            <wp:docPr id="1381415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141576" name=""/>
                    <pic:cNvPicPr/>
                  </pic:nvPicPr>
                  <pic:blipFill>
                    <a:blip r:embed="rId17"/>
                    <a:stretch>
                      <a:fillRect/>
                    </a:stretch>
                  </pic:blipFill>
                  <pic:spPr>
                    <a:xfrm>
                      <a:off x="0" y="0"/>
                      <a:ext cx="6645910" cy="1762125"/>
                    </a:xfrm>
                    <a:prstGeom prst="rect">
                      <a:avLst/>
                    </a:prstGeom>
                  </pic:spPr>
                </pic:pic>
              </a:graphicData>
            </a:graphic>
          </wp:inline>
        </w:drawing>
      </w:r>
    </w:p>
    <w:p w:rsidR="00CC24B5" w:rsidRPr="00CC24B5" w:rsidRDefault="00CC24B5" w:rsidP="00CC24B5">
      <w:pPr>
        <w:spacing w:after="200" w:line="360" w:lineRule="auto"/>
        <w:ind w:left="360"/>
        <w:jc w:val="both"/>
        <w:rPr>
          <w:rFonts w:ascii="Calibri" w:eastAsia="Calibri" w:hAnsi="Calibri" w:cs="Times New Roman"/>
          <w:b/>
          <w:lang w:val="pt-BR"/>
        </w:rPr>
      </w:pPr>
      <w:r w:rsidRPr="00CC24B5">
        <w:rPr>
          <w:rFonts w:ascii="Calibri" w:eastAsia="Calibri" w:hAnsi="Calibri" w:cs="Times New Roman"/>
          <w:b/>
          <w:lang w:val="sv-SE"/>
        </w:rPr>
        <w:t xml:space="preserve">1.2.5 Supratensiuni : </w:t>
      </w:r>
      <w:r w:rsidRPr="00CC24B5">
        <w:rPr>
          <w:rFonts w:ascii="Calibri" w:eastAsia="Calibri" w:hAnsi="Calibri" w:cs="Times New Roman"/>
          <w:bCs/>
          <w:lang w:val="sv-SE"/>
        </w:rPr>
        <w:t xml:space="preserve">În 3094 de PT-uri (86%) s-au înregistrat până în 10 supratensiuni, iar în 507 de PT-uri (14%)  s-au înregistrat mai mult de 10 supratensiuni. </w:t>
      </w:r>
      <w:r w:rsidRPr="00CC24B5">
        <w:rPr>
          <w:rFonts w:ascii="Calibri" w:eastAsia="Calibri" w:hAnsi="Calibri" w:cs="Times New Roman"/>
          <w:bCs/>
          <w:lang w:val="pt-BR"/>
        </w:rPr>
        <w:t xml:space="preserve">Supratensiunile sunt provocate în cea mai mare parte de cresterea  tensiunii peste limitele admise în perioadele de gol de sarcină si într-o foarte mică măsură de evenimente accidentale ca urmare a sectionării nulului din retea. </w:t>
      </w:r>
    </w:p>
    <w:p w:rsidR="00CC24B5" w:rsidRPr="00CC24B5" w:rsidRDefault="00CC24B5" w:rsidP="00CC24B5">
      <w:pPr>
        <w:spacing w:after="200" w:line="360" w:lineRule="auto"/>
        <w:ind w:left="360"/>
        <w:rPr>
          <w:rFonts w:ascii="Calibri" w:eastAsia="Calibri" w:hAnsi="Calibri" w:cs="Times New Roman"/>
          <w:b/>
          <w:lang w:val="sv-SE"/>
        </w:rPr>
      </w:pPr>
      <w:r w:rsidRPr="00CC24B5">
        <w:rPr>
          <w:rFonts w:ascii="Calibri" w:eastAsia="Calibri" w:hAnsi="Calibri" w:cs="Times New Roman"/>
          <w:b/>
          <w:noProof/>
          <w:lang w:val="sv-SE"/>
        </w:rPr>
        <w:drawing>
          <wp:inline distT="0" distB="0" distL="0" distR="0" wp14:anchorId="11C5EA7E" wp14:editId="70C1AB67">
            <wp:extent cx="6645910" cy="1747520"/>
            <wp:effectExtent l="0" t="0" r="0" b="0"/>
            <wp:docPr id="16861622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6162207" name=""/>
                    <pic:cNvPicPr/>
                  </pic:nvPicPr>
                  <pic:blipFill>
                    <a:blip r:embed="rId18"/>
                    <a:stretch>
                      <a:fillRect/>
                    </a:stretch>
                  </pic:blipFill>
                  <pic:spPr>
                    <a:xfrm>
                      <a:off x="0" y="0"/>
                      <a:ext cx="6645910" cy="1747520"/>
                    </a:xfrm>
                    <a:prstGeom prst="rect">
                      <a:avLst/>
                    </a:prstGeom>
                  </pic:spPr>
                </pic:pic>
              </a:graphicData>
            </a:graphic>
          </wp:inline>
        </w:drawing>
      </w:r>
    </w:p>
    <w:p w:rsidR="00CC24B5" w:rsidRPr="00CC24B5" w:rsidRDefault="00CC24B5" w:rsidP="00CC24B5">
      <w:pPr>
        <w:spacing w:after="200" w:line="360" w:lineRule="auto"/>
        <w:ind w:left="360"/>
        <w:jc w:val="both"/>
        <w:rPr>
          <w:rFonts w:ascii="Calibri" w:eastAsia="Calibri" w:hAnsi="Calibri" w:cs="Times New Roman"/>
          <w:b/>
          <w:lang w:val="sv-SE"/>
        </w:rPr>
      </w:pPr>
      <w:r w:rsidRPr="00CC24B5">
        <w:rPr>
          <w:rFonts w:ascii="Calibri" w:eastAsia="Calibri" w:hAnsi="Calibri" w:cs="Times New Roman"/>
          <w:b/>
          <w:lang w:val="sv-SE"/>
        </w:rPr>
        <w:lastRenderedPageBreak/>
        <w:t xml:space="preserve">1.2.6 Goluri de tensiune : </w:t>
      </w:r>
      <w:r w:rsidRPr="00CC24B5">
        <w:rPr>
          <w:rFonts w:ascii="Calibri" w:eastAsia="Calibri" w:hAnsi="Calibri" w:cs="Times New Roman"/>
          <w:bCs/>
          <w:lang w:val="sv-SE"/>
        </w:rPr>
        <w:t>În 3476 de PT-uri (96%) s-au înregistrat până în 10 goluri, iar în 125 de PT-uri (4%) s-au înregistrat mai mult de 10 goluri. Golurile sunt generate în cea mai mare parte de defectele trecătoare din rețeaua de JT si într-o măsură redusă de conectarea unor sarcini mari aferente unor receptoare din dotarea utilizatorilor racordati în reteaua de JT ( motoare, aparate de sudură, etc).</w:t>
      </w:r>
    </w:p>
    <w:p w:rsidR="00CC24B5" w:rsidRPr="00CC24B5" w:rsidRDefault="00CC24B5" w:rsidP="00CC24B5">
      <w:pPr>
        <w:spacing w:after="200" w:line="360" w:lineRule="auto"/>
        <w:ind w:left="360"/>
        <w:rPr>
          <w:rFonts w:ascii="Calibri" w:eastAsia="Calibri" w:hAnsi="Calibri" w:cs="Times New Roman"/>
          <w:b/>
          <w:lang w:val="sv-SE"/>
        </w:rPr>
      </w:pPr>
      <w:r w:rsidRPr="00CC24B5">
        <w:rPr>
          <w:rFonts w:ascii="Calibri" w:eastAsia="Calibri" w:hAnsi="Calibri" w:cs="Times New Roman"/>
          <w:b/>
          <w:noProof/>
          <w:lang w:val="sv-SE"/>
        </w:rPr>
        <w:drawing>
          <wp:inline distT="0" distB="0" distL="0" distR="0" wp14:anchorId="50D98122" wp14:editId="433BD2CA">
            <wp:extent cx="6645910" cy="1765300"/>
            <wp:effectExtent l="0" t="0" r="0" b="0"/>
            <wp:docPr id="13125766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2576611" name=""/>
                    <pic:cNvPicPr/>
                  </pic:nvPicPr>
                  <pic:blipFill>
                    <a:blip r:embed="rId19"/>
                    <a:stretch>
                      <a:fillRect/>
                    </a:stretch>
                  </pic:blipFill>
                  <pic:spPr>
                    <a:xfrm>
                      <a:off x="0" y="0"/>
                      <a:ext cx="6645910" cy="1765300"/>
                    </a:xfrm>
                    <a:prstGeom prst="rect">
                      <a:avLst/>
                    </a:prstGeom>
                  </pic:spPr>
                </pic:pic>
              </a:graphicData>
            </a:graphic>
          </wp:inline>
        </w:drawing>
      </w:r>
    </w:p>
    <w:p w:rsidR="00CC24B5" w:rsidRPr="00CC24B5" w:rsidRDefault="00CC24B5" w:rsidP="00CC24B5">
      <w:pPr>
        <w:spacing w:after="200" w:line="360" w:lineRule="auto"/>
        <w:ind w:left="360"/>
        <w:rPr>
          <w:rFonts w:ascii="Calibri" w:eastAsia="Calibri" w:hAnsi="Calibri" w:cs="Times New Roman"/>
          <w:b/>
          <w:lang w:val="sv-SE"/>
        </w:rPr>
      </w:pPr>
      <w:r w:rsidRPr="00CC24B5">
        <w:rPr>
          <w:rFonts w:ascii="Calibri" w:eastAsia="Calibri" w:hAnsi="Calibri" w:cs="Times New Roman"/>
          <w:b/>
          <w:lang w:val="sv-SE"/>
        </w:rPr>
        <w:t xml:space="preserve">1.3 Măsuri : </w:t>
      </w:r>
    </w:p>
    <w:p w:rsidR="00CC24B5" w:rsidRPr="00CC24B5" w:rsidRDefault="00CC24B5" w:rsidP="00CC24B5">
      <w:pPr>
        <w:spacing w:after="200" w:line="360" w:lineRule="auto"/>
        <w:ind w:left="360"/>
        <w:rPr>
          <w:rFonts w:ascii="Calibri" w:eastAsia="Calibri" w:hAnsi="Calibri" w:cs="Times New Roman"/>
          <w:b/>
          <w:lang w:val="sv-SE"/>
        </w:rPr>
      </w:pPr>
      <w:r w:rsidRPr="00CC24B5">
        <w:rPr>
          <w:rFonts w:ascii="Calibri" w:eastAsia="Calibri" w:hAnsi="Calibri" w:cs="Times New Roman"/>
          <w:b/>
          <w:lang w:val="sv-SE"/>
        </w:rPr>
        <w:t>1.3.1 Măsuri din planul de mentenantă 2026</w:t>
      </w:r>
    </w:p>
    <w:p w:rsidR="00CC24B5" w:rsidRPr="00CC24B5" w:rsidRDefault="00CC24B5" w:rsidP="00CC24B5">
      <w:pPr>
        <w:spacing w:after="200" w:line="360" w:lineRule="auto"/>
        <w:ind w:left="360"/>
        <w:rPr>
          <w:rFonts w:ascii="Calibri" w:eastAsia="Calibri" w:hAnsi="Calibri" w:cs="Times New Roman"/>
          <w:bCs/>
          <w:lang w:val="sv-SE"/>
        </w:rPr>
      </w:pPr>
      <w:r w:rsidRPr="00CC24B5">
        <w:rPr>
          <w:rFonts w:ascii="Calibri" w:eastAsia="Calibri" w:hAnsi="Calibri" w:cs="Times New Roman"/>
          <w:bCs/>
          <w:lang w:val="sv-SE"/>
        </w:rPr>
        <w:t>1.3.1.1 Lucrări de defrisari/toaletare vegetatie în reteaua de IT, MT si JT.</w:t>
      </w:r>
    </w:p>
    <w:p w:rsidR="00CC24B5" w:rsidRPr="00CC24B5" w:rsidRDefault="00CC24B5" w:rsidP="00CC24B5">
      <w:pPr>
        <w:spacing w:after="200" w:line="360" w:lineRule="auto"/>
        <w:ind w:left="360"/>
        <w:rPr>
          <w:rFonts w:ascii="Calibri" w:eastAsia="Calibri" w:hAnsi="Calibri" w:cs="Times New Roman"/>
          <w:bCs/>
          <w:lang w:val="sv-SE"/>
        </w:rPr>
      </w:pPr>
      <w:r w:rsidRPr="00CC24B5">
        <w:rPr>
          <w:rFonts w:ascii="Calibri" w:eastAsia="Calibri" w:hAnsi="Calibri" w:cs="Times New Roman"/>
          <w:bCs/>
          <w:lang w:val="sv-SE"/>
        </w:rPr>
        <w:t>1.3.1.2 Rotiri trafo 110/22 kV cu trafo 110/20 kV  - 5 buc</w:t>
      </w:r>
    </w:p>
    <w:p w:rsidR="00CC24B5" w:rsidRPr="00CC24B5" w:rsidRDefault="00CC24B5" w:rsidP="00CC24B5">
      <w:pPr>
        <w:spacing w:after="200" w:line="360" w:lineRule="auto"/>
        <w:ind w:left="360"/>
        <w:jc w:val="both"/>
        <w:rPr>
          <w:rFonts w:ascii="Calibri" w:eastAsia="Calibri" w:hAnsi="Calibri" w:cs="Times New Roman"/>
          <w:bCs/>
          <w:lang w:val="pt-BR"/>
        </w:rPr>
      </w:pPr>
      <w:r w:rsidRPr="00CC24B5">
        <w:rPr>
          <w:rFonts w:ascii="Calibri" w:eastAsia="Calibri" w:hAnsi="Calibri" w:cs="Times New Roman"/>
          <w:bCs/>
          <w:lang w:val="pt-BR"/>
        </w:rPr>
        <w:t xml:space="preserve">1.3.1.3 Implementare reglaj de tensiune dependent de sarcină pe Regulatoarele Automate de Tensiune aferente transformatoarelor din statii. Măsura s-a implementat în 10 statii care au înregistrat un număr mare de reclamatii privind nivelul tensiunii. Până la sfârsitul anului  se va implementa  pe toate Regulatoarele  de Tensiune aferente transformatoarelor din statiile de transformare care dispun de această functie. </w:t>
      </w:r>
    </w:p>
    <w:p w:rsidR="00CC24B5" w:rsidRPr="00CC24B5" w:rsidRDefault="00CC24B5" w:rsidP="00CC24B5">
      <w:pPr>
        <w:spacing w:after="200" w:line="360" w:lineRule="auto"/>
        <w:ind w:left="360"/>
        <w:jc w:val="both"/>
        <w:rPr>
          <w:rFonts w:ascii="Calibri" w:eastAsia="Calibri" w:hAnsi="Calibri" w:cs="Times New Roman"/>
          <w:bCs/>
          <w:lang w:val="pt-BR"/>
        </w:rPr>
      </w:pPr>
      <w:r w:rsidRPr="00CC24B5">
        <w:rPr>
          <w:rFonts w:ascii="Calibri" w:eastAsia="Calibri" w:hAnsi="Calibri" w:cs="Times New Roman"/>
          <w:bCs/>
          <w:lang w:val="pt-BR"/>
        </w:rPr>
        <w:t>1.3.1.4 Modificarea benzilor de tensiune în statiile de tranformare unde se înregistrează un volum mare de reclamatii privind nivelul tensiunii iar Regulatoarele Automate de Tensiuni de pe  transformatoare nu permit reglaj de tensiune dependent de sarcina – Măsură implementată in 14 statii si urmează alte 2 statii.</w:t>
      </w:r>
    </w:p>
    <w:p w:rsidR="00CC24B5" w:rsidRPr="00CC24B5" w:rsidRDefault="00CC24B5" w:rsidP="00CC24B5">
      <w:pPr>
        <w:spacing w:after="200" w:line="360" w:lineRule="auto"/>
        <w:ind w:left="360"/>
        <w:rPr>
          <w:rFonts w:ascii="Calibri" w:eastAsia="Calibri" w:hAnsi="Calibri" w:cs="Times New Roman"/>
          <w:b/>
          <w:lang w:val="pt-BR"/>
        </w:rPr>
      </w:pPr>
      <w:r w:rsidRPr="00CC24B5">
        <w:rPr>
          <w:rFonts w:ascii="Calibri" w:eastAsia="Calibri" w:hAnsi="Calibri" w:cs="Times New Roman"/>
          <w:b/>
          <w:lang w:val="pt-BR"/>
        </w:rPr>
        <w:t>1.3.2 Masuri din planul de investitii 2026</w:t>
      </w:r>
    </w:p>
    <w:p w:rsidR="00CC24B5" w:rsidRPr="00CC24B5" w:rsidRDefault="00CC24B5" w:rsidP="00CC24B5">
      <w:pPr>
        <w:spacing w:after="200" w:line="360" w:lineRule="auto"/>
        <w:ind w:left="360"/>
        <w:rPr>
          <w:rFonts w:ascii="Calibri" w:eastAsia="Calibri" w:hAnsi="Calibri" w:cs="Times New Roman"/>
          <w:b/>
          <w:lang w:val="pt-BR"/>
        </w:rPr>
      </w:pPr>
      <w:r w:rsidRPr="00CC24B5">
        <w:rPr>
          <w:rFonts w:ascii="Calibri" w:eastAsia="Calibri" w:hAnsi="Calibri" w:cs="Times New Roman"/>
          <w:bCs/>
          <w:lang w:val="pt-BR"/>
        </w:rPr>
        <w:t>1.3.2.1 Modernizare (înlocuire echipamente) Statii – 36 lucrari</w:t>
      </w:r>
    </w:p>
    <w:p w:rsidR="00CC24B5" w:rsidRPr="00CC24B5" w:rsidRDefault="00CC24B5" w:rsidP="00CC24B5">
      <w:pPr>
        <w:spacing w:after="200" w:line="360" w:lineRule="auto"/>
        <w:ind w:left="360"/>
        <w:rPr>
          <w:rFonts w:ascii="Calibri" w:eastAsia="Calibri" w:hAnsi="Calibri" w:cs="Times New Roman"/>
          <w:bCs/>
          <w:lang w:val="pt-BR"/>
        </w:rPr>
      </w:pPr>
      <w:r w:rsidRPr="00CC24B5">
        <w:rPr>
          <w:rFonts w:ascii="Calibri" w:eastAsia="Calibri" w:hAnsi="Calibri" w:cs="Times New Roman"/>
          <w:bCs/>
          <w:lang w:val="pt-BR"/>
        </w:rPr>
        <w:lastRenderedPageBreak/>
        <w:t xml:space="preserve">1.3.2.2 Modernizare (înlocuire izolatie) LEA MT – 7 lucrari </w:t>
      </w:r>
    </w:p>
    <w:p w:rsidR="00CC24B5" w:rsidRPr="00CC24B5" w:rsidRDefault="00CC24B5" w:rsidP="00CC24B5">
      <w:pPr>
        <w:spacing w:after="200" w:line="360" w:lineRule="auto"/>
        <w:ind w:left="360"/>
        <w:rPr>
          <w:rFonts w:ascii="Calibri" w:eastAsia="Calibri" w:hAnsi="Calibri" w:cs="Times New Roman"/>
          <w:bCs/>
          <w:lang w:val="pt-BR"/>
        </w:rPr>
      </w:pPr>
      <w:r w:rsidRPr="00CC24B5">
        <w:rPr>
          <w:rFonts w:ascii="Calibri" w:eastAsia="Calibri" w:hAnsi="Calibri" w:cs="Times New Roman"/>
          <w:bCs/>
          <w:lang w:val="pt-BR"/>
        </w:rPr>
        <w:t>1.3.2.3 Modernizare (înlocuire cablu ) LES MT – 33 lucrari</w:t>
      </w:r>
    </w:p>
    <w:p w:rsidR="00CC24B5" w:rsidRPr="00CC24B5" w:rsidRDefault="00CC24B5" w:rsidP="00CC24B5">
      <w:pPr>
        <w:spacing w:after="200" w:line="360" w:lineRule="auto"/>
        <w:ind w:left="360"/>
        <w:rPr>
          <w:rFonts w:ascii="Calibri" w:eastAsia="Calibri" w:hAnsi="Calibri" w:cs="Times New Roman"/>
          <w:bCs/>
          <w:lang w:val="pt-BR"/>
        </w:rPr>
      </w:pPr>
      <w:r w:rsidRPr="00CC24B5">
        <w:rPr>
          <w:rFonts w:ascii="Calibri" w:eastAsia="Calibri" w:hAnsi="Calibri" w:cs="Times New Roman"/>
          <w:bCs/>
          <w:lang w:val="pt-BR"/>
        </w:rPr>
        <w:t>1.3.2.4 Modernizare ( înlocuire echipamente) PT – 142 lucrari</w:t>
      </w:r>
    </w:p>
    <w:p w:rsidR="00CC24B5" w:rsidRPr="00CC24B5" w:rsidRDefault="00CC24B5" w:rsidP="00CC24B5">
      <w:pPr>
        <w:spacing w:after="200" w:line="360" w:lineRule="auto"/>
        <w:ind w:left="360"/>
        <w:rPr>
          <w:rFonts w:ascii="Calibri" w:eastAsia="Calibri" w:hAnsi="Calibri" w:cs="Times New Roman"/>
          <w:bCs/>
          <w:lang w:val="pt-BR"/>
        </w:rPr>
      </w:pPr>
      <w:r w:rsidRPr="00CC24B5">
        <w:rPr>
          <w:rFonts w:ascii="Calibri" w:eastAsia="Calibri" w:hAnsi="Calibri" w:cs="Times New Roman"/>
          <w:bCs/>
          <w:lang w:val="pt-BR"/>
        </w:rPr>
        <w:t>1.3.2.5 Îmbunatatire nivel tensiune LEA JT – 11 lucrări</w:t>
      </w:r>
    </w:p>
    <w:p w:rsidR="00CC24B5" w:rsidRPr="00CC24B5" w:rsidRDefault="00CC24B5" w:rsidP="00CC24B5">
      <w:pPr>
        <w:spacing w:after="200" w:line="360" w:lineRule="auto"/>
        <w:ind w:left="360"/>
        <w:rPr>
          <w:rFonts w:ascii="Calibri" w:eastAsia="Calibri" w:hAnsi="Calibri" w:cs="Times New Roman"/>
          <w:bCs/>
          <w:lang w:val="pt-BR"/>
        </w:rPr>
      </w:pPr>
      <w:r w:rsidRPr="00CC24B5">
        <w:rPr>
          <w:rFonts w:ascii="Calibri" w:eastAsia="Calibri" w:hAnsi="Calibri" w:cs="Times New Roman"/>
          <w:bCs/>
          <w:lang w:val="pt-BR"/>
        </w:rPr>
        <w:t>1.3.2.6 Modernizare (înlocuire conductor retea+bransamente) LEA JT – 12 lucrări</w:t>
      </w:r>
    </w:p>
    <w:p w:rsidR="00CC24B5" w:rsidRPr="00CC24B5" w:rsidRDefault="00CC24B5" w:rsidP="00CC24B5">
      <w:pPr>
        <w:spacing w:after="200" w:line="360" w:lineRule="auto"/>
        <w:ind w:left="360"/>
        <w:rPr>
          <w:rFonts w:ascii="Calibri" w:eastAsia="Calibri" w:hAnsi="Calibri" w:cs="Times New Roman"/>
          <w:bCs/>
          <w:lang w:val="pt-BR"/>
        </w:rPr>
      </w:pPr>
      <w:r w:rsidRPr="00CC24B5">
        <w:rPr>
          <w:rFonts w:ascii="Calibri" w:eastAsia="Calibri" w:hAnsi="Calibri" w:cs="Times New Roman"/>
          <w:bCs/>
          <w:lang w:val="pt-BR"/>
        </w:rPr>
        <w:t>1.3.2.7 Montare Regulatoare Automate de Tensiune în statiile Transelectrica ( Munteni, FAI, Suceava) din care sunt alimentati utilizatori Delgaz– 3 lucrari</w:t>
      </w:r>
    </w:p>
    <w:p w:rsidR="00CC24B5" w:rsidRPr="00CC24B5" w:rsidRDefault="00CC24B5" w:rsidP="00CC24B5">
      <w:pPr>
        <w:spacing w:after="200" w:line="360" w:lineRule="auto"/>
        <w:ind w:left="360"/>
        <w:rPr>
          <w:rFonts w:ascii="Calibri" w:eastAsia="Calibri" w:hAnsi="Calibri" w:cs="Times New Roman"/>
          <w:bCs/>
          <w:lang w:val="pt-BR"/>
        </w:rPr>
      </w:pPr>
      <w:r w:rsidRPr="00CC24B5">
        <w:rPr>
          <w:rFonts w:ascii="Calibri" w:eastAsia="Calibri" w:hAnsi="Calibri" w:cs="Times New Roman"/>
          <w:bCs/>
          <w:lang w:val="pt-BR"/>
        </w:rPr>
        <w:t>1.3.2.8 Montare transformare cu RAT ( Regulator Automat de Tensiune ) în PT, care să permită reglajul tensiunii functie de sarcină – 6 lucrări (proiect pilot)</w:t>
      </w:r>
    </w:p>
    <w:p w:rsidR="00CC24B5" w:rsidRPr="00CC24B5" w:rsidRDefault="00CC24B5" w:rsidP="00CC24B5">
      <w:pPr>
        <w:spacing w:after="200" w:line="360" w:lineRule="auto"/>
        <w:ind w:left="360"/>
        <w:rPr>
          <w:rFonts w:ascii="Calibri" w:eastAsia="Calibri" w:hAnsi="Calibri" w:cs="Times New Roman"/>
          <w:bCs/>
          <w:lang w:val="pt-BR"/>
        </w:rPr>
      </w:pPr>
      <w:r w:rsidRPr="00CC24B5">
        <w:rPr>
          <w:rFonts w:ascii="Calibri" w:eastAsia="Calibri" w:hAnsi="Calibri" w:cs="Times New Roman"/>
          <w:bCs/>
          <w:lang w:val="pt-BR"/>
        </w:rPr>
        <w:t>1.3.2.9 Automatizarea distributiei prin montare de reclosere si separatoare telecomandate (SAD rural)- 81 lucrari  cu impact asupra indicatorilor de continuitate</w:t>
      </w:r>
    </w:p>
    <w:p w:rsidR="00CC24B5" w:rsidRPr="00CC24B5" w:rsidRDefault="00CC24B5" w:rsidP="00CC24B5">
      <w:pPr>
        <w:spacing w:after="200" w:line="360" w:lineRule="auto"/>
        <w:ind w:left="360"/>
        <w:rPr>
          <w:rFonts w:ascii="Calibri" w:eastAsia="Calibri" w:hAnsi="Calibri" w:cs="Times New Roman"/>
          <w:bCs/>
          <w:lang w:val="pt-BR"/>
        </w:rPr>
      </w:pPr>
      <w:r w:rsidRPr="00CC24B5">
        <w:rPr>
          <w:rFonts w:ascii="Calibri" w:eastAsia="Calibri" w:hAnsi="Calibri" w:cs="Times New Roman"/>
          <w:bCs/>
          <w:lang w:val="pt-BR"/>
        </w:rPr>
        <w:t>1.3.2.10 Automatizarea distributiei integrarea in SCADA a PT si PA din localitati urbane (SAD urban) – 13 lucrari cu impact asupra indicatorilor de continuitate</w:t>
      </w:r>
    </w:p>
    <w:p w:rsidR="00CC24B5" w:rsidRPr="00CC24B5" w:rsidRDefault="00CC24B5" w:rsidP="00CC24B5">
      <w:pPr>
        <w:spacing w:after="200" w:line="360" w:lineRule="auto"/>
        <w:ind w:left="360"/>
        <w:rPr>
          <w:rFonts w:ascii="Calibri" w:eastAsia="Calibri" w:hAnsi="Calibri" w:cs="Times New Roman"/>
          <w:bCs/>
          <w:lang w:val="en-GB"/>
        </w:rPr>
      </w:pPr>
      <w:r w:rsidRPr="00CC24B5">
        <w:rPr>
          <w:rFonts w:ascii="Calibri" w:eastAsia="Calibri" w:hAnsi="Calibri" w:cs="Times New Roman"/>
          <w:bCs/>
          <w:lang w:val="en-GB"/>
        </w:rPr>
        <w:t>1.3.2.11 Montare contoare SMART – 166 515 buc cu impact in observabilitate si monitorizare calitate energie.</w:t>
      </w:r>
    </w:p>
    <w:p w:rsidR="00CC24B5" w:rsidRDefault="00CC24B5" w:rsidP="00CC24B5">
      <w:pPr>
        <w:pStyle w:val="Heading1"/>
        <w:rPr>
          <w:rFonts w:eastAsia="Calibri"/>
          <w:lang w:val="en-GB"/>
        </w:rPr>
      </w:pPr>
      <w:r>
        <w:rPr>
          <w:rFonts w:eastAsia="Calibri"/>
          <w:lang w:val="en-GB"/>
        </w:rPr>
        <w:t xml:space="preserve">3.Distribuție Energie Oltenia </w:t>
      </w:r>
    </w:p>
    <w:p w:rsidR="00033F5A" w:rsidRDefault="00033F5A" w:rsidP="00CC24B5">
      <w:pPr>
        <w:spacing w:before="80" w:after="80" w:line="240" w:lineRule="auto"/>
        <w:jc w:val="both"/>
        <w:rPr>
          <w:rFonts w:ascii="Calibri" w:eastAsia="Calibri" w:hAnsi="Calibri" w:cs="Calibri"/>
          <w:color w:val="000000"/>
        </w:rPr>
      </w:pPr>
      <w:r>
        <w:rPr>
          <w:rFonts w:ascii="Calibri" w:eastAsia="Calibri" w:hAnsi="Calibri" w:cs="Calibri"/>
          <w:color w:val="000000"/>
        </w:rPr>
        <w:t>Distribuție Energie Oltenia nu a transmis analiza datelor înregistrate în stațiile de 110kV.Se prezintă în continuare analiza datelor înregistrate în posturile de transformare.</w:t>
      </w:r>
      <w:bookmarkStart w:id="0" w:name="_GoBack"/>
      <w:bookmarkEnd w:id="0"/>
    </w:p>
    <w:p w:rsidR="00CC24B5" w:rsidRPr="00CC24B5" w:rsidRDefault="00CC24B5" w:rsidP="00CC24B5">
      <w:pPr>
        <w:spacing w:before="80" w:after="80" w:line="240" w:lineRule="auto"/>
        <w:jc w:val="both"/>
        <w:rPr>
          <w:rFonts w:ascii="Arial" w:eastAsia="Arial" w:hAnsi="Arial" w:cs="Arial"/>
        </w:rPr>
      </w:pPr>
      <w:r w:rsidRPr="00CC24B5">
        <w:rPr>
          <w:rFonts w:ascii="Calibri" w:eastAsia="Calibri" w:hAnsi="Calibri" w:cs="Calibri"/>
          <w:color w:val="000000"/>
        </w:rPr>
        <w:t xml:space="preserve">DEO are implementat un sistem centralizat de colectare si analiza a datelor provenite din echipamentele de monitorizare </w:t>
      </w:r>
      <w:proofErr w:type="gramStart"/>
      <w:r w:rsidRPr="00CC24B5">
        <w:rPr>
          <w:rFonts w:ascii="Calibri" w:eastAsia="Calibri" w:hAnsi="Calibri" w:cs="Calibri"/>
          <w:color w:val="000000"/>
        </w:rPr>
        <w:t>a</w:t>
      </w:r>
      <w:proofErr w:type="gramEnd"/>
      <w:r w:rsidRPr="00CC24B5">
        <w:rPr>
          <w:rFonts w:ascii="Calibri" w:eastAsia="Calibri" w:hAnsi="Calibri" w:cs="Calibri"/>
          <w:color w:val="000000"/>
        </w:rPr>
        <w:t xml:space="preserve"> energiei electrice, montate in posturile si statiile de transformare. La data de 31.12.2025, in sistemul de calitate al energiei electrice erau inrolate un numar de:</w:t>
      </w:r>
    </w:p>
    <w:p w:rsidR="00CC24B5" w:rsidRPr="00CC24B5" w:rsidRDefault="00CC24B5" w:rsidP="00CC24B5">
      <w:pPr>
        <w:numPr>
          <w:ilvl w:val="0"/>
          <w:numId w:val="7"/>
        </w:numPr>
        <w:spacing w:after="0" w:line="240" w:lineRule="auto"/>
        <w:jc w:val="both"/>
        <w:rPr>
          <w:rFonts w:ascii="Calibri" w:eastAsia="Calibri" w:hAnsi="Calibri" w:cs="Calibri"/>
        </w:rPr>
      </w:pPr>
      <w:r w:rsidRPr="00CC24B5">
        <w:rPr>
          <w:rFonts w:ascii="Calibri" w:eastAsia="Calibri" w:hAnsi="Calibri" w:cs="Calibri"/>
        </w:rPr>
        <w:t>4.320 buc. analizoare montate in posturile de transformare</w:t>
      </w:r>
    </w:p>
    <w:p w:rsidR="00CC24B5" w:rsidRPr="00CC24B5" w:rsidRDefault="00CC24B5" w:rsidP="00CC24B5">
      <w:pPr>
        <w:numPr>
          <w:ilvl w:val="0"/>
          <w:numId w:val="7"/>
        </w:numPr>
        <w:spacing w:after="0" w:line="240" w:lineRule="auto"/>
        <w:jc w:val="both"/>
        <w:rPr>
          <w:rFonts w:ascii="Calibri" w:eastAsia="Calibri" w:hAnsi="Calibri" w:cs="Calibri"/>
        </w:rPr>
      </w:pPr>
      <w:r w:rsidRPr="00CC24B5">
        <w:rPr>
          <w:rFonts w:ascii="Calibri" w:eastAsia="Calibri" w:hAnsi="Calibri" w:cs="Calibri"/>
        </w:rPr>
        <w:t>2.090 buc. concentratoare montate in posturile de transformare</w:t>
      </w:r>
    </w:p>
    <w:p w:rsidR="00CC24B5" w:rsidRPr="00CC24B5" w:rsidRDefault="00CC24B5" w:rsidP="00CC24B5">
      <w:pPr>
        <w:numPr>
          <w:ilvl w:val="0"/>
          <w:numId w:val="7"/>
        </w:numPr>
        <w:spacing w:after="0" w:line="240" w:lineRule="auto"/>
        <w:jc w:val="both"/>
        <w:rPr>
          <w:rFonts w:ascii="Calibri" w:eastAsia="Calibri" w:hAnsi="Calibri" w:cs="Calibri"/>
        </w:rPr>
      </w:pPr>
      <w:r w:rsidRPr="00CC24B5">
        <w:rPr>
          <w:rFonts w:ascii="Calibri" w:eastAsia="Calibri" w:hAnsi="Calibri" w:cs="Calibri"/>
        </w:rPr>
        <w:t>108 buc. analizoare montate pe bara statiilor 110/MT</w:t>
      </w:r>
    </w:p>
    <w:p w:rsidR="00CC24B5" w:rsidRPr="00CC24B5" w:rsidRDefault="00CC24B5" w:rsidP="00CC24B5">
      <w:pPr>
        <w:spacing w:before="120" w:after="120" w:line="240" w:lineRule="auto"/>
        <w:jc w:val="both"/>
        <w:rPr>
          <w:rFonts w:ascii="Arial" w:eastAsia="Arial" w:hAnsi="Arial" w:cs="Arial"/>
        </w:rPr>
      </w:pPr>
      <w:r w:rsidRPr="00CC24B5">
        <w:rPr>
          <w:rFonts w:ascii="Calibri" w:eastAsia="Calibri" w:hAnsi="Calibri" w:cs="Calibri"/>
        </w:rPr>
        <w:t>Sistemul calitatii este format din 2 aplicatii:</w:t>
      </w:r>
    </w:p>
    <w:p w:rsidR="00CC24B5" w:rsidRPr="00CC24B5" w:rsidRDefault="00CC24B5" w:rsidP="00CC24B5">
      <w:pPr>
        <w:numPr>
          <w:ilvl w:val="0"/>
          <w:numId w:val="13"/>
        </w:numPr>
        <w:spacing w:after="0" w:line="240" w:lineRule="auto"/>
        <w:jc w:val="both"/>
        <w:rPr>
          <w:rFonts w:ascii="Arial" w:eastAsia="Arial" w:hAnsi="Arial" w:cs="Arial"/>
        </w:rPr>
      </w:pPr>
      <w:r w:rsidRPr="00CC24B5">
        <w:rPr>
          <w:rFonts w:ascii="Calibri" w:eastAsia="Calibri" w:hAnsi="Calibri" w:cs="Calibri"/>
        </w:rPr>
        <w:t>Aplicatia server – disponibila administratorului de sistem, unde sunt accesate de la distanta analizoare, parametrizate si integrate in sistem.</w:t>
      </w:r>
    </w:p>
    <w:p w:rsidR="00CC24B5" w:rsidRPr="00CC24B5" w:rsidRDefault="00CC24B5" w:rsidP="00CC24B5">
      <w:pPr>
        <w:numPr>
          <w:ilvl w:val="0"/>
          <w:numId w:val="13"/>
        </w:numPr>
        <w:spacing w:after="0" w:line="240" w:lineRule="auto"/>
        <w:jc w:val="both"/>
        <w:rPr>
          <w:rFonts w:ascii="Arial" w:eastAsia="Arial" w:hAnsi="Arial" w:cs="Arial"/>
        </w:rPr>
      </w:pPr>
      <w:r w:rsidRPr="00CC24B5">
        <w:rPr>
          <w:rFonts w:ascii="Calibri" w:eastAsia="Calibri" w:hAnsi="Calibri" w:cs="Calibri"/>
        </w:rPr>
        <w:t>Aplicatia Webdator2 – disponibila utilizatorilor, unde sunt importate si analizate datele din analizoare si sunt generate rapoartele aferente.</w:t>
      </w:r>
    </w:p>
    <w:p w:rsidR="00CC24B5" w:rsidRPr="00CC24B5" w:rsidRDefault="00CC24B5" w:rsidP="00CC24B5">
      <w:pPr>
        <w:spacing w:after="0" w:line="240" w:lineRule="auto"/>
        <w:jc w:val="both"/>
        <w:rPr>
          <w:rFonts w:ascii="Arial" w:eastAsia="Arial" w:hAnsi="Arial" w:cs="Arial"/>
        </w:rPr>
      </w:pPr>
      <w:r w:rsidRPr="00CC24B5">
        <w:rPr>
          <w:rFonts w:ascii="Calibri" w:eastAsia="Calibri" w:hAnsi="Calibri" w:cs="Calibri"/>
        </w:rPr>
        <w:t>Exista mai multe tipuri de analizoare integrate in sistemul DEO:</w:t>
      </w:r>
    </w:p>
    <w:p w:rsidR="00CC24B5" w:rsidRPr="00CC24B5" w:rsidRDefault="00CC24B5" w:rsidP="00CC24B5">
      <w:pPr>
        <w:numPr>
          <w:ilvl w:val="0"/>
          <w:numId w:val="12"/>
        </w:numPr>
        <w:spacing w:after="0" w:line="240" w:lineRule="auto"/>
        <w:jc w:val="both"/>
        <w:rPr>
          <w:rFonts w:ascii="Arial" w:eastAsia="Arial" w:hAnsi="Arial" w:cs="Arial"/>
        </w:rPr>
      </w:pPr>
      <w:r w:rsidRPr="00CC24B5">
        <w:rPr>
          <w:rFonts w:ascii="Calibri" w:eastAsia="Calibri" w:hAnsi="Calibri" w:cs="Calibri"/>
        </w:rPr>
        <w:lastRenderedPageBreak/>
        <w:t xml:space="preserve">Analizoare MEg40 utilizate in posturile de transformare </w:t>
      </w:r>
    </w:p>
    <w:p w:rsidR="00CC24B5" w:rsidRPr="00CC24B5" w:rsidRDefault="00CC24B5" w:rsidP="00CC24B5">
      <w:pPr>
        <w:numPr>
          <w:ilvl w:val="0"/>
          <w:numId w:val="12"/>
        </w:numPr>
        <w:spacing w:after="0" w:line="240" w:lineRule="auto"/>
        <w:jc w:val="both"/>
        <w:rPr>
          <w:rFonts w:ascii="Arial" w:eastAsia="Arial" w:hAnsi="Arial" w:cs="Arial"/>
        </w:rPr>
      </w:pPr>
      <w:r w:rsidRPr="00CC24B5">
        <w:rPr>
          <w:rFonts w:ascii="Calibri" w:eastAsia="Calibri" w:hAnsi="Calibri" w:cs="Calibri"/>
        </w:rPr>
        <w:t>Analizoare MEg45 utilizate in posturile de transformare</w:t>
      </w:r>
    </w:p>
    <w:p w:rsidR="00CC24B5" w:rsidRPr="00CC24B5" w:rsidRDefault="00CC24B5" w:rsidP="00CC24B5">
      <w:pPr>
        <w:numPr>
          <w:ilvl w:val="0"/>
          <w:numId w:val="12"/>
        </w:numPr>
        <w:spacing w:after="0" w:line="240" w:lineRule="auto"/>
        <w:jc w:val="both"/>
        <w:rPr>
          <w:rFonts w:ascii="Arial" w:eastAsia="Arial" w:hAnsi="Arial" w:cs="Arial"/>
        </w:rPr>
      </w:pPr>
      <w:r w:rsidRPr="00CC24B5">
        <w:rPr>
          <w:rFonts w:ascii="Calibri" w:eastAsia="Calibri" w:hAnsi="Calibri" w:cs="Calibri"/>
        </w:rPr>
        <w:t>Analizoare MEg39 utilizate in statiile de tranformare 110/20kV</w:t>
      </w:r>
    </w:p>
    <w:p w:rsidR="00CC24B5" w:rsidRPr="00CC24B5" w:rsidRDefault="00CC24B5" w:rsidP="00CC24B5">
      <w:pPr>
        <w:numPr>
          <w:ilvl w:val="0"/>
          <w:numId w:val="12"/>
        </w:numPr>
        <w:spacing w:after="0" w:line="240" w:lineRule="auto"/>
        <w:jc w:val="both"/>
        <w:rPr>
          <w:rFonts w:ascii="Arial" w:eastAsia="Arial" w:hAnsi="Arial" w:cs="Arial"/>
        </w:rPr>
      </w:pPr>
      <w:r w:rsidRPr="00CC24B5">
        <w:rPr>
          <w:rFonts w:ascii="Calibri" w:eastAsia="Calibri" w:hAnsi="Calibri" w:cs="Calibri"/>
        </w:rPr>
        <w:t>Data Concentratoare utilizate in posturile de transfomare</w:t>
      </w:r>
    </w:p>
    <w:p w:rsidR="00CC24B5" w:rsidRPr="00CC24B5" w:rsidRDefault="00CC24B5" w:rsidP="00CC24B5">
      <w:pPr>
        <w:numPr>
          <w:ilvl w:val="0"/>
          <w:numId w:val="12"/>
        </w:numPr>
        <w:spacing w:after="0" w:line="240" w:lineRule="auto"/>
        <w:jc w:val="both"/>
        <w:rPr>
          <w:rFonts w:ascii="Arial" w:eastAsia="Arial" w:hAnsi="Arial" w:cs="Arial"/>
        </w:rPr>
      </w:pPr>
      <w:r w:rsidRPr="00CC24B5">
        <w:rPr>
          <w:rFonts w:ascii="Calibri" w:eastAsia="Calibri" w:hAnsi="Calibri" w:cs="Calibri"/>
        </w:rPr>
        <w:t>Analizoare Mavosis utilizate in statiile de transformare 110/20kV</w:t>
      </w:r>
    </w:p>
    <w:p w:rsidR="00CC24B5" w:rsidRPr="00CC24B5" w:rsidRDefault="00CC24B5" w:rsidP="00CC24B5">
      <w:pPr>
        <w:keepNext/>
        <w:spacing w:before="360" w:line="240" w:lineRule="auto"/>
        <w:outlineLvl w:val="0"/>
        <w:rPr>
          <w:rFonts w:ascii="Arial" w:eastAsia="Arial" w:hAnsi="Arial" w:cs="Arial"/>
          <w:b/>
          <w:bCs/>
          <w:color w:val="1F4E79"/>
          <w:sz w:val="32"/>
          <w:szCs w:val="32"/>
        </w:rPr>
      </w:pPr>
      <w:bookmarkStart w:id="1" w:name="_Toc232168937"/>
      <w:r w:rsidRPr="00CC24B5">
        <w:rPr>
          <w:rFonts w:ascii="Calibri" w:eastAsia="Calibri" w:hAnsi="Calibri" w:cs="Calibri"/>
          <w:b/>
          <w:bCs/>
          <w:color w:val="1F4E79"/>
          <w:sz w:val="36"/>
          <w:szCs w:val="32"/>
        </w:rPr>
        <w:t>Capitolul 3. Analiza si interpretarea datelor inregistrate</w:t>
      </w:r>
      <w:bookmarkEnd w:id="1"/>
    </w:p>
    <w:p w:rsidR="00CC24B5" w:rsidRPr="00CC24B5" w:rsidRDefault="00CC24B5" w:rsidP="00CC24B5">
      <w:pPr>
        <w:keepNext/>
        <w:spacing w:before="280" w:after="120" w:line="240" w:lineRule="auto"/>
        <w:outlineLvl w:val="1"/>
        <w:rPr>
          <w:rFonts w:ascii="Arial" w:eastAsia="Arial" w:hAnsi="Arial" w:cs="Arial"/>
          <w:b/>
          <w:bCs/>
          <w:color w:val="2E75B6"/>
          <w:sz w:val="28"/>
          <w:szCs w:val="28"/>
        </w:rPr>
      </w:pPr>
      <w:bookmarkStart w:id="2" w:name="_Toc232168938"/>
      <w:r w:rsidRPr="00CC24B5">
        <w:rPr>
          <w:rFonts w:ascii="Calibri" w:eastAsia="Calibri" w:hAnsi="Calibri" w:cs="Calibri"/>
          <w:b/>
          <w:bCs/>
          <w:color w:val="2E75B6"/>
          <w:sz w:val="28"/>
          <w:szCs w:val="28"/>
        </w:rPr>
        <w:t>3.1 Posturi de transformare</w:t>
      </w:r>
      <w:bookmarkEnd w:id="2"/>
    </w:p>
    <w:p w:rsidR="00CC24B5" w:rsidRPr="00CC24B5" w:rsidRDefault="00CC24B5" w:rsidP="00CC24B5">
      <w:pPr>
        <w:spacing w:before="80" w:after="80" w:line="240" w:lineRule="auto"/>
        <w:jc w:val="both"/>
        <w:rPr>
          <w:rFonts w:ascii="Arial" w:eastAsia="Arial" w:hAnsi="Arial" w:cs="Arial"/>
          <w:color w:val="000000"/>
        </w:rPr>
      </w:pPr>
      <w:r w:rsidRPr="00CC24B5">
        <w:rPr>
          <w:rFonts w:ascii="Calibri" w:eastAsia="Calibri" w:hAnsi="Calibri" w:cs="Calibri"/>
          <w:color w:val="000000"/>
        </w:rPr>
        <w:t xml:space="preserve">In perioada de referinta (ianuarie – decembrie 2025), au fost analizate datele provenite de la </w:t>
      </w:r>
      <w:r w:rsidRPr="00CC24B5">
        <w:rPr>
          <w:rFonts w:ascii="Calibri" w:eastAsia="Calibri" w:hAnsi="Calibri" w:cs="Calibri"/>
          <w:b/>
          <w:bCs/>
          <w:color w:val="000000"/>
        </w:rPr>
        <w:t>4.320 si 2090 concentratoare montate in posturi de transformare</w:t>
      </w:r>
      <w:r w:rsidRPr="00CC24B5">
        <w:rPr>
          <w:rFonts w:ascii="Calibri" w:eastAsia="Calibri" w:hAnsi="Calibri" w:cs="Calibri"/>
          <w:color w:val="000000"/>
        </w:rPr>
        <w:t xml:space="preserve"> inrolate in sistemul centralizat de monitorizare DEO.</w:t>
      </w:r>
    </w:p>
    <w:p w:rsidR="00CC24B5" w:rsidRPr="00CC24B5" w:rsidRDefault="00CC24B5" w:rsidP="00CC24B5">
      <w:pPr>
        <w:spacing w:before="80" w:after="80" w:line="240" w:lineRule="auto"/>
        <w:jc w:val="both"/>
        <w:rPr>
          <w:rFonts w:ascii="Arial" w:eastAsia="Arial" w:hAnsi="Arial" w:cs="Arial"/>
        </w:rPr>
      </w:pPr>
    </w:p>
    <w:p w:rsidR="00CC24B5" w:rsidRPr="00CC24B5" w:rsidRDefault="00CC24B5" w:rsidP="00CC24B5">
      <w:pPr>
        <w:keepNext/>
        <w:spacing w:before="160" w:after="80" w:line="240" w:lineRule="auto"/>
        <w:jc w:val="center"/>
        <w:rPr>
          <w:rFonts w:ascii="Arial" w:eastAsia="Arial" w:hAnsi="Arial" w:cs="Arial"/>
        </w:rPr>
      </w:pPr>
      <w:r w:rsidRPr="00CC24B5">
        <w:rPr>
          <w:rFonts w:ascii="Calibri" w:eastAsia="Calibri" w:hAnsi="Calibri" w:cs="Calibri"/>
          <w:noProof/>
        </w:rPr>
        <w:drawing>
          <wp:anchor distT="0" distB="0" distL="114300" distR="114300" simplePos="0" relativeHeight="251659264" behindDoc="0" locked="0" layoutInCell="1" allowOverlap="1" wp14:anchorId="1910F38B" wp14:editId="3A5BE8BF">
            <wp:simplePos x="0" y="0"/>
            <wp:positionH relativeFrom="column">
              <wp:posOffset>616585</wp:posOffset>
            </wp:positionH>
            <wp:positionV relativeFrom="paragraph">
              <wp:posOffset>254000</wp:posOffset>
            </wp:positionV>
            <wp:extent cx="4465320" cy="3454358"/>
            <wp:effectExtent l="0" t="0" r="0" b="0"/>
            <wp:wrapTopAndBottom/>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465320" cy="3454358"/>
                    </a:xfrm>
                    <a:prstGeom prst="rect">
                      <a:avLst/>
                    </a:prstGeom>
                    <a:noFill/>
                    <a:ln>
                      <a:noFill/>
                    </a:ln>
                  </pic:spPr>
                </pic:pic>
              </a:graphicData>
            </a:graphic>
          </wp:anchor>
        </w:drawing>
      </w:r>
    </w:p>
    <w:p w:rsidR="00CC24B5" w:rsidRPr="00CC24B5" w:rsidRDefault="00CC24B5" w:rsidP="00CC24B5">
      <w:pPr>
        <w:spacing w:before="120" w:after="120" w:line="240" w:lineRule="auto"/>
        <w:jc w:val="center"/>
        <w:rPr>
          <w:rFonts w:ascii="Arial" w:eastAsia="Arial" w:hAnsi="Arial" w:cs="Arial"/>
        </w:rPr>
      </w:pPr>
    </w:p>
    <w:p w:rsidR="00CC24B5" w:rsidRPr="00CC24B5" w:rsidRDefault="00CC24B5" w:rsidP="00CC24B5">
      <w:pPr>
        <w:spacing w:before="40" w:after="240" w:line="240" w:lineRule="auto"/>
        <w:jc w:val="center"/>
        <w:rPr>
          <w:rFonts w:ascii="Arial" w:eastAsia="Arial" w:hAnsi="Arial" w:cs="Arial"/>
        </w:rPr>
      </w:pPr>
      <w:r w:rsidRPr="00CC24B5">
        <w:rPr>
          <w:rFonts w:ascii="Calibri" w:eastAsia="Calibri" w:hAnsi="Calibri" w:cs="Calibri"/>
          <w:i/>
          <w:iCs/>
          <w:color w:val="595959"/>
          <w:sz w:val="20"/>
          <w:szCs w:val="18"/>
        </w:rPr>
        <w:t>Figura 3.1 – Situatia generala a posturilor de transformare monitorizate in 2025</w:t>
      </w:r>
    </w:p>
    <w:p w:rsidR="00CC24B5" w:rsidRPr="00CC24B5" w:rsidRDefault="00CC24B5" w:rsidP="00CC24B5">
      <w:pPr>
        <w:spacing w:after="120" w:line="240" w:lineRule="auto"/>
        <w:jc w:val="both"/>
        <w:rPr>
          <w:rFonts w:ascii="Arial" w:eastAsia="Arial" w:hAnsi="Arial" w:cs="Arial"/>
        </w:rPr>
      </w:pPr>
      <w:r w:rsidRPr="00CC24B5">
        <w:rPr>
          <w:rFonts w:ascii="Calibri" w:eastAsia="Calibri" w:hAnsi="Calibri" w:cs="Calibri"/>
          <w:b/>
          <w:color w:val="2E75B6"/>
          <w:sz w:val="28"/>
        </w:rPr>
        <w:t>3.1.1 Analiza tensiunii</w:t>
      </w:r>
    </w:p>
    <w:p w:rsidR="00CC24B5" w:rsidRPr="00CC24B5" w:rsidRDefault="00CC24B5" w:rsidP="00CC24B5">
      <w:pPr>
        <w:spacing w:before="80" w:after="80" w:line="240" w:lineRule="auto"/>
        <w:jc w:val="both"/>
        <w:rPr>
          <w:rFonts w:ascii="Arial" w:eastAsia="Arial" w:hAnsi="Arial" w:cs="Arial"/>
        </w:rPr>
      </w:pPr>
      <w:r w:rsidRPr="00CC24B5">
        <w:rPr>
          <w:rFonts w:ascii="Calibri" w:eastAsia="Calibri" w:hAnsi="Calibri" w:cs="Calibri"/>
          <w:color w:val="000000"/>
        </w:rPr>
        <w:t xml:space="preserve">Conform standardului de performanta, tensiunea de alimentare trebuie sa se situeze in intervalul nominal </w:t>
      </w:r>
      <w:r w:rsidRPr="00CC24B5">
        <w:rPr>
          <w:rFonts w:ascii="Calibri" w:eastAsia="Calibri" w:hAnsi="Calibri" w:cs="Calibri"/>
          <w:b/>
          <w:bCs/>
          <w:color w:val="000000"/>
        </w:rPr>
        <w:t>230 V +5-10% (207–241.5 V)</w:t>
      </w:r>
      <w:r w:rsidRPr="00CC24B5">
        <w:rPr>
          <w:rFonts w:ascii="Calibri" w:eastAsia="Calibri" w:hAnsi="Calibri" w:cs="Calibri"/>
          <w:color w:val="000000"/>
        </w:rPr>
        <w:t xml:space="preserve">, timp de minimum 95% din intervalele de </w:t>
      </w:r>
      <w:proofErr w:type="gramStart"/>
      <w:r w:rsidRPr="00CC24B5">
        <w:rPr>
          <w:rFonts w:ascii="Calibri" w:eastAsia="Calibri" w:hAnsi="Calibri" w:cs="Calibri"/>
          <w:color w:val="000000"/>
        </w:rPr>
        <w:t>10 minute</w:t>
      </w:r>
      <w:proofErr w:type="gramEnd"/>
      <w:r w:rsidRPr="00CC24B5">
        <w:rPr>
          <w:rFonts w:ascii="Calibri" w:eastAsia="Calibri" w:hAnsi="Calibri" w:cs="Calibri"/>
          <w:color w:val="000000"/>
        </w:rPr>
        <w:t xml:space="preserve"> pe saptamana. Din analiza valorilor medii de tensiune inregistrate in posturile de transformare rezulta:</w:t>
      </w:r>
    </w:p>
    <w:p w:rsidR="00CC24B5" w:rsidRPr="00CC24B5" w:rsidRDefault="00CC24B5" w:rsidP="00CC24B5">
      <w:pPr>
        <w:numPr>
          <w:ilvl w:val="0"/>
          <w:numId w:val="7"/>
        </w:numPr>
        <w:spacing w:after="0" w:line="240" w:lineRule="auto"/>
        <w:jc w:val="both"/>
        <w:rPr>
          <w:rFonts w:ascii="Arial" w:eastAsia="Arial" w:hAnsi="Arial" w:cs="Arial"/>
        </w:rPr>
      </w:pPr>
      <w:r w:rsidRPr="00CC24B5">
        <w:rPr>
          <w:rFonts w:ascii="Calibri" w:eastAsia="Calibri" w:hAnsi="Calibri" w:cs="Calibri"/>
        </w:rPr>
        <w:t>3191 posturi (73,86%) prezinta tensiuni medii in intervalul normal [207–241.5 V]</w:t>
      </w:r>
    </w:p>
    <w:p w:rsidR="00CC24B5" w:rsidRPr="00CC24B5" w:rsidRDefault="00CC24B5" w:rsidP="00CC24B5">
      <w:pPr>
        <w:numPr>
          <w:ilvl w:val="0"/>
          <w:numId w:val="7"/>
        </w:numPr>
        <w:spacing w:after="0" w:line="240" w:lineRule="auto"/>
        <w:jc w:val="both"/>
        <w:rPr>
          <w:rFonts w:ascii="Arial" w:eastAsia="Arial" w:hAnsi="Arial" w:cs="Arial"/>
        </w:rPr>
      </w:pPr>
      <w:r w:rsidRPr="00CC24B5">
        <w:rPr>
          <w:rFonts w:ascii="Calibri" w:eastAsia="Calibri" w:hAnsi="Calibri" w:cs="Calibri"/>
        </w:rPr>
        <w:t>1121 posturi (25,94%) prezinta tensiuni medii in intervalul [241.5V – 253]</w:t>
      </w:r>
    </w:p>
    <w:p w:rsidR="00CC24B5" w:rsidRPr="00CC24B5" w:rsidRDefault="00CC24B5" w:rsidP="00CC24B5">
      <w:pPr>
        <w:numPr>
          <w:ilvl w:val="0"/>
          <w:numId w:val="7"/>
        </w:numPr>
        <w:spacing w:after="0" w:line="240" w:lineRule="auto"/>
        <w:jc w:val="both"/>
        <w:rPr>
          <w:rFonts w:ascii="Arial" w:eastAsia="Arial" w:hAnsi="Arial" w:cs="Arial"/>
        </w:rPr>
      </w:pPr>
      <w:r w:rsidRPr="00CC24B5">
        <w:rPr>
          <w:rFonts w:ascii="Calibri" w:eastAsia="Calibri" w:hAnsi="Calibri" w:cs="Calibri"/>
        </w:rPr>
        <w:t>8 posturi (0,2%) inregistreaza tensiuni medii peste 253 V</w:t>
      </w:r>
    </w:p>
    <w:p w:rsidR="00CC24B5" w:rsidRPr="00CC24B5" w:rsidRDefault="00CC24B5" w:rsidP="00CC24B5">
      <w:pPr>
        <w:spacing w:before="80" w:after="0" w:line="240" w:lineRule="auto"/>
        <w:rPr>
          <w:rFonts w:ascii="Arial" w:eastAsia="Arial" w:hAnsi="Arial" w:cs="Arial"/>
        </w:rPr>
      </w:pPr>
    </w:p>
    <w:p w:rsidR="00CC24B5" w:rsidRPr="00CC24B5" w:rsidRDefault="00CC24B5" w:rsidP="00CC24B5">
      <w:pPr>
        <w:spacing w:before="80" w:after="80" w:line="240" w:lineRule="auto"/>
        <w:jc w:val="both"/>
        <w:rPr>
          <w:rFonts w:ascii="Arial" w:eastAsia="Arial" w:hAnsi="Arial" w:cs="Arial"/>
        </w:rPr>
      </w:pPr>
      <w:r w:rsidRPr="00CC24B5">
        <w:rPr>
          <w:rFonts w:ascii="Calibri" w:eastAsia="Calibri" w:hAnsi="Calibri" w:cs="Calibri"/>
          <w:color w:val="000000"/>
        </w:rPr>
        <w:t>La nivel de saptamani de analiza, 3.764 posturi au inregistrat cel putin o saptamana cu depasiri ale limitelor de variatie normala a tensiunii, ceea ce reprezinta o incidenta ridicata ce necesita investigatii suplimentare. Mentionam ca valorile constatate pot include si variatii temporare inerente retelei.</w:t>
      </w:r>
    </w:p>
    <w:p w:rsidR="00CC24B5" w:rsidRPr="00CC24B5" w:rsidRDefault="00CC24B5" w:rsidP="00CC24B5">
      <w:pPr>
        <w:keepNext/>
        <w:spacing w:before="160" w:after="80" w:line="240" w:lineRule="auto"/>
        <w:jc w:val="center"/>
        <w:rPr>
          <w:rFonts w:ascii="Arial" w:eastAsia="Arial" w:hAnsi="Arial" w:cs="Arial"/>
        </w:rPr>
      </w:pPr>
      <w:r w:rsidRPr="00CC24B5">
        <w:rPr>
          <w:rFonts w:ascii="Calibri" w:eastAsia="Calibri" w:hAnsi="Calibri" w:cs="Calibri"/>
          <w:noProof/>
        </w:rPr>
        <w:drawing>
          <wp:inline distT="0" distB="0" distL="0" distR="0" wp14:anchorId="72FCCBA3" wp14:editId="671D2DC4">
            <wp:extent cx="5937250" cy="3111500"/>
            <wp:effectExtent l="0" t="0" r="6350" b="0"/>
            <wp:docPr id="173020470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937250" cy="3111500"/>
                    </a:xfrm>
                    <a:prstGeom prst="rect">
                      <a:avLst/>
                    </a:prstGeom>
                    <a:noFill/>
                    <a:ln>
                      <a:noFill/>
                    </a:ln>
                  </pic:spPr>
                </pic:pic>
              </a:graphicData>
            </a:graphic>
          </wp:inline>
        </w:drawing>
      </w:r>
    </w:p>
    <w:p w:rsidR="00CC24B5" w:rsidRPr="00CC24B5" w:rsidRDefault="00CC24B5" w:rsidP="00CC24B5">
      <w:pPr>
        <w:spacing w:before="40" w:after="240" w:line="240" w:lineRule="auto"/>
        <w:jc w:val="center"/>
        <w:rPr>
          <w:rFonts w:ascii="Arial" w:eastAsia="Arial" w:hAnsi="Arial" w:cs="Arial"/>
        </w:rPr>
      </w:pPr>
      <w:r w:rsidRPr="00CC24B5">
        <w:rPr>
          <w:rFonts w:ascii="Calibri" w:eastAsia="Calibri" w:hAnsi="Calibri" w:cs="Calibri"/>
          <w:i/>
          <w:iCs/>
          <w:color w:val="595959"/>
          <w:sz w:val="20"/>
          <w:szCs w:val="18"/>
        </w:rPr>
        <w:t>Figura 3.2 – Analiza tensiunii</w:t>
      </w:r>
    </w:p>
    <w:p w:rsidR="00CC24B5" w:rsidRPr="00CC24B5" w:rsidRDefault="00CC24B5" w:rsidP="00CC24B5">
      <w:pPr>
        <w:spacing w:before="80" w:after="80" w:line="240" w:lineRule="auto"/>
        <w:jc w:val="both"/>
        <w:rPr>
          <w:rFonts w:ascii="Arial" w:eastAsia="Arial" w:hAnsi="Arial" w:cs="Arial"/>
        </w:rPr>
      </w:pPr>
    </w:p>
    <w:p w:rsidR="00CC24B5" w:rsidRPr="00CC24B5" w:rsidRDefault="00CC24B5" w:rsidP="00CC24B5">
      <w:pPr>
        <w:keepNext/>
        <w:spacing w:before="280" w:after="120" w:line="240" w:lineRule="auto"/>
        <w:outlineLvl w:val="1"/>
        <w:rPr>
          <w:rFonts w:ascii="Arial" w:eastAsia="Arial" w:hAnsi="Arial" w:cs="Arial"/>
          <w:b/>
          <w:bCs/>
          <w:color w:val="2E75B6"/>
          <w:sz w:val="28"/>
          <w:szCs w:val="28"/>
        </w:rPr>
      </w:pPr>
      <w:bookmarkStart w:id="3" w:name="_Toc232168939"/>
      <w:r w:rsidRPr="00CC24B5">
        <w:rPr>
          <w:rFonts w:ascii="Calibri" w:eastAsia="Calibri" w:hAnsi="Calibri" w:cs="Calibri"/>
          <w:b/>
          <w:bCs/>
          <w:color w:val="2E75B6"/>
          <w:sz w:val="28"/>
          <w:szCs w:val="28"/>
        </w:rPr>
        <w:t>3.1.2 Analiza armonicilor</w:t>
      </w:r>
      <w:bookmarkEnd w:id="3"/>
    </w:p>
    <w:p w:rsidR="00CC24B5" w:rsidRPr="00CC24B5" w:rsidRDefault="00CC24B5" w:rsidP="00CC24B5">
      <w:pPr>
        <w:spacing w:before="80" w:after="80" w:line="240" w:lineRule="auto"/>
        <w:jc w:val="both"/>
        <w:rPr>
          <w:rFonts w:ascii="Arial" w:eastAsia="Arial" w:hAnsi="Arial" w:cs="Arial"/>
        </w:rPr>
      </w:pPr>
      <w:r w:rsidRPr="00CC24B5">
        <w:rPr>
          <w:rFonts w:ascii="Calibri" w:eastAsia="Calibri" w:hAnsi="Calibri" w:cs="Calibri"/>
          <w:color w:val="000000"/>
        </w:rPr>
        <w:t>Armonicile reprezinta componente sinusoidale ale curentului sau tensiunii cu frecvente multiple intregi fata de frecventa fundamentala (50 Hz). Analiza celor 3.964 posturi evidentiaza:</w:t>
      </w:r>
    </w:p>
    <w:p w:rsidR="00CC24B5" w:rsidRPr="00CC24B5" w:rsidRDefault="00CC24B5" w:rsidP="00CC24B5">
      <w:pPr>
        <w:numPr>
          <w:ilvl w:val="0"/>
          <w:numId w:val="7"/>
        </w:numPr>
        <w:spacing w:after="0" w:line="240" w:lineRule="auto"/>
        <w:jc w:val="both"/>
        <w:rPr>
          <w:rFonts w:ascii="Arial" w:eastAsia="Arial" w:hAnsi="Arial" w:cs="Arial"/>
        </w:rPr>
      </w:pPr>
      <w:r w:rsidRPr="00CC24B5">
        <w:rPr>
          <w:rFonts w:ascii="Calibri" w:eastAsia="Calibri" w:hAnsi="Calibri" w:cs="Calibri"/>
        </w:rPr>
        <w:t>Armonica de ordinul 6 (H6) inregistreaza cele mai numeroase depasiri: 113 posturi</w:t>
      </w:r>
    </w:p>
    <w:p w:rsidR="00CC24B5" w:rsidRPr="00CC24B5" w:rsidRDefault="00CC24B5" w:rsidP="00CC24B5">
      <w:pPr>
        <w:numPr>
          <w:ilvl w:val="0"/>
          <w:numId w:val="7"/>
        </w:numPr>
        <w:spacing w:after="0" w:line="240" w:lineRule="auto"/>
        <w:jc w:val="both"/>
        <w:rPr>
          <w:rFonts w:ascii="Arial" w:eastAsia="Arial" w:hAnsi="Arial" w:cs="Arial"/>
        </w:rPr>
      </w:pPr>
      <w:r w:rsidRPr="00CC24B5">
        <w:rPr>
          <w:rFonts w:ascii="Calibri" w:eastAsia="Calibri" w:hAnsi="Calibri" w:cs="Calibri"/>
        </w:rPr>
        <w:t>Armonicile de ordinele 4, 5, 8, 10 si 12 prezinta depasiri la 25–34 posturi fiecare</w:t>
      </w:r>
    </w:p>
    <w:p w:rsidR="00CC24B5" w:rsidRPr="00CC24B5" w:rsidRDefault="00CC24B5" w:rsidP="00CC24B5">
      <w:pPr>
        <w:numPr>
          <w:ilvl w:val="0"/>
          <w:numId w:val="7"/>
        </w:numPr>
        <w:spacing w:after="0" w:line="240" w:lineRule="auto"/>
        <w:jc w:val="both"/>
        <w:rPr>
          <w:rFonts w:ascii="Arial" w:eastAsia="Arial" w:hAnsi="Arial" w:cs="Arial"/>
        </w:rPr>
      </w:pPr>
      <w:r w:rsidRPr="00CC24B5">
        <w:rPr>
          <w:rFonts w:ascii="Calibri" w:eastAsia="Calibri" w:hAnsi="Calibri" w:cs="Calibri"/>
        </w:rPr>
        <w:t>Armonicile de ordin impar (H3, H7, H11, H13, H17, H19, H23, H25) au un numar redus de depasiri</w:t>
      </w:r>
    </w:p>
    <w:p w:rsidR="00CC24B5" w:rsidRPr="00CC24B5" w:rsidRDefault="00CC24B5" w:rsidP="00CC24B5">
      <w:pPr>
        <w:numPr>
          <w:ilvl w:val="0"/>
          <w:numId w:val="7"/>
        </w:numPr>
        <w:spacing w:after="0" w:line="240" w:lineRule="auto"/>
        <w:jc w:val="both"/>
        <w:rPr>
          <w:rFonts w:ascii="Arial" w:eastAsia="Arial" w:hAnsi="Arial" w:cs="Arial"/>
        </w:rPr>
      </w:pPr>
      <w:r w:rsidRPr="00CC24B5">
        <w:rPr>
          <w:rFonts w:ascii="Calibri" w:eastAsia="Calibri" w:hAnsi="Calibri" w:cs="Calibri"/>
        </w:rPr>
        <w:t>Niciun post nu depaseste limitele la toate armonicele simultan</w:t>
      </w:r>
    </w:p>
    <w:p w:rsidR="00CC24B5" w:rsidRPr="00CC24B5" w:rsidRDefault="00CC24B5" w:rsidP="00CC24B5">
      <w:pPr>
        <w:spacing w:after="0" w:line="240" w:lineRule="auto"/>
        <w:ind w:left="720"/>
        <w:jc w:val="both"/>
        <w:rPr>
          <w:rFonts w:ascii="Arial" w:eastAsia="Arial" w:hAnsi="Arial" w:cs="Arial"/>
        </w:rPr>
      </w:pPr>
      <w:r w:rsidRPr="00CC24B5">
        <w:rPr>
          <w:rFonts w:ascii="Calibri" w:eastAsia="Calibri" w:hAnsi="Calibri" w:cs="Calibri"/>
        </w:rPr>
        <w:t>Nota: au fost analizate analizoarele Meg45 care includ si monitorizarea armonicilor.</w:t>
      </w:r>
    </w:p>
    <w:p w:rsidR="00CC24B5" w:rsidRPr="00CC24B5" w:rsidRDefault="00CC24B5" w:rsidP="00CC24B5">
      <w:pPr>
        <w:keepNext/>
        <w:spacing w:before="160" w:after="80" w:line="240" w:lineRule="auto"/>
        <w:jc w:val="center"/>
        <w:rPr>
          <w:rFonts w:ascii="Arial" w:eastAsia="Arial" w:hAnsi="Arial" w:cs="Arial"/>
        </w:rPr>
      </w:pPr>
      <w:r w:rsidRPr="00CC24B5">
        <w:rPr>
          <w:rFonts w:ascii="Calibri" w:eastAsia="Calibri" w:hAnsi="Calibri" w:cs="Calibri"/>
          <w:noProof/>
        </w:rPr>
        <w:lastRenderedPageBreak/>
        <w:drawing>
          <wp:inline distT="0" distB="0" distL="0" distR="0" wp14:anchorId="6571944A" wp14:editId="5152BDCA">
            <wp:extent cx="5905500" cy="2762250"/>
            <wp:effectExtent l="0" t="0" r="0" b="0"/>
            <wp:docPr id="938743802" name="Picture 938743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2"/>
                    <a:srcRect/>
                    <a:stretch>
                      <a:fillRect/>
                    </a:stretch>
                  </pic:blipFill>
                  <pic:spPr bwMode="auto">
                    <a:xfrm>
                      <a:off x="0" y="0"/>
                      <a:ext cx="5905500" cy="2762250"/>
                    </a:xfrm>
                    <a:prstGeom prst="rect">
                      <a:avLst/>
                    </a:prstGeom>
                  </pic:spPr>
                </pic:pic>
              </a:graphicData>
            </a:graphic>
          </wp:inline>
        </w:drawing>
      </w:r>
    </w:p>
    <w:p w:rsidR="00CC24B5" w:rsidRPr="00CC24B5" w:rsidRDefault="00CC24B5" w:rsidP="00CC24B5">
      <w:pPr>
        <w:spacing w:before="40" w:after="240" w:line="240" w:lineRule="auto"/>
        <w:jc w:val="center"/>
        <w:rPr>
          <w:rFonts w:ascii="Arial" w:eastAsia="Arial" w:hAnsi="Arial" w:cs="Arial"/>
          <w:i/>
          <w:iCs/>
          <w:color w:val="595959"/>
          <w:sz w:val="18"/>
          <w:szCs w:val="18"/>
        </w:rPr>
      </w:pPr>
      <w:r w:rsidRPr="00CC24B5">
        <w:rPr>
          <w:rFonts w:ascii="Calibri" w:eastAsia="Calibri" w:hAnsi="Calibri" w:cs="Calibri"/>
          <w:i/>
          <w:iCs/>
          <w:color w:val="595959"/>
          <w:sz w:val="20"/>
          <w:szCs w:val="18"/>
        </w:rPr>
        <w:t>Figura 3.3 – Numarul de posturi cu depasiri pe ordin armonic (H2–H25)</w:t>
      </w:r>
    </w:p>
    <w:p w:rsidR="00CC24B5" w:rsidRPr="00CC24B5" w:rsidRDefault="00CC24B5" w:rsidP="00CC24B5">
      <w:pPr>
        <w:spacing w:before="80" w:after="80" w:line="240" w:lineRule="auto"/>
        <w:jc w:val="both"/>
        <w:rPr>
          <w:rFonts w:ascii="Arial" w:eastAsia="Arial" w:hAnsi="Arial" w:cs="Arial"/>
        </w:rPr>
      </w:pPr>
      <w:r w:rsidRPr="00CC24B5">
        <w:rPr>
          <w:rFonts w:ascii="Calibri" w:eastAsia="Calibri" w:hAnsi="Calibri" w:cs="Calibri"/>
          <w:b/>
          <w:bCs/>
          <w:color w:val="000000"/>
        </w:rPr>
        <w:t xml:space="preserve">Concluzie: </w:t>
      </w:r>
      <w:r w:rsidRPr="00CC24B5">
        <w:rPr>
          <w:rFonts w:ascii="Calibri" w:eastAsia="Calibri" w:hAnsi="Calibri" w:cs="Calibri"/>
          <w:color w:val="000000"/>
        </w:rPr>
        <w:t xml:space="preserve">Marea majoritate </w:t>
      </w:r>
      <w:r w:rsidRPr="00CC24B5">
        <w:rPr>
          <w:rFonts w:ascii="Calibri" w:eastAsia="Calibri" w:hAnsi="Calibri" w:cs="Calibri"/>
        </w:rPr>
        <w:t xml:space="preserve">a posturilor se incadreaza in limitele impuse </w:t>
      </w:r>
      <w:r w:rsidRPr="00CC24B5">
        <w:rPr>
          <w:rFonts w:ascii="Calibri" w:eastAsia="Calibri" w:hAnsi="Calibri" w:cs="Calibri"/>
          <w:color w:val="000000"/>
        </w:rPr>
        <w:t>de standard. H6 reprezinta ordinul armonic cu cele mai frecvente depasiri si necesita atentie prioritara (posibil cauzat de echipamente de comutatie sau sarcini nelineare specifice).</w:t>
      </w:r>
    </w:p>
    <w:p w:rsidR="00CC24B5" w:rsidRPr="00CC24B5" w:rsidRDefault="00CC24B5" w:rsidP="00CC24B5">
      <w:pPr>
        <w:keepNext/>
        <w:spacing w:before="280" w:after="120" w:line="240" w:lineRule="auto"/>
        <w:outlineLvl w:val="1"/>
        <w:rPr>
          <w:rFonts w:ascii="Arial" w:eastAsia="Arial" w:hAnsi="Arial" w:cs="Arial"/>
          <w:b/>
          <w:bCs/>
          <w:color w:val="2E75B6"/>
          <w:sz w:val="28"/>
          <w:szCs w:val="28"/>
        </w:rPr>
      </w:pPr>
      <w:bookmarkStart w:id="4" w:name="_Toc232168940"/>
      <w:r w:rsidRPr="00CC24B5">
        <w:rPr>
          <w:rFonts w:ascii="Calibri" w:eastAsia="Calibri" w:hAnsi="Calibri" w:cs="Calibri"/>
          <w:b/>
          <w:bCs/>
          <w:color w:val="2E75B6"/>
          <w:sz w:val="28"/>
          <w:szCs w:val="28"/>
        </w:rPr>
        <w:t>3.1.4 Intreruperi scurte</w:t>
      </w:r>
      <w:bookmarkEnd w:id="4"/>
    </w:p>
    <w:p w:rsidR="00CC24B5" w:rsidRPr="00CC24B5" w:rsidRDefault="00CC24B5" w:rsidP="00CC24B5">
      <w:pPr>
        <w:spacing w:before="80" w:after="80" w:line="240" w:lineRule="auto"/>
        <w:jc w:val="both"/>
        <w:rPr>
          <w:rFonts w:ascii="Arial" w:eastAsia="Arial" w:hAnsi="Arial" w:cs="Arial"/>
        </w:rPr>
      </w:pPr>
      <w:r w:rsidRPr="00CC24B5">
        <w:rPr>
          <w:rFonts w:ascii="Calibri" w:eastAsia="Calibri" w:hAnsi="Calibri" w:cs="Calibri"/>
          <w:color w:val="000000"/>
        </w:rPr>
        <w:t xml:space="preserve">Intreruperile scurte sunt cele cu durata cuprinsa intre 0,5 secunde si 3 minute. Distributia posturilor pe intervale de frecventa </w:t>
      </w:r>
      <w:proofErr w:type="gramStart"/>
      <w:r w:rsidRPr="00CC24B5">
        <w:rPr>
          <w:rFonts w:ascii="Calibri" w:eastAsia="Calibri" w:hAnsi="Calibri" w:cs="Calibri"/>
          <w:color w:val="000000"/>
        </w:rPr>
        <w:t>a</w:t>
      </w:r>
      <w:proofErr w:type="gramEnd"/>
      <w:r w:rsidRPr="00CC24B5">
        <w:rPr>
          <w:rFonts w:ascii="Calibri" w:eastAsia="Calibri" w:hAnsi="Calibri" w:cs="Calibri"/>
          <w:color w:val="000000"/>
        </w:rPr>
        <w:t xml:space="preserve"> acestor evenimente este prezentata mai jos:</w:t>
      </w:r>
    </w:p>
    <w:tbl>
      <w:tblPr>
        <w:tblW w:w="89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2232"/>
        <w:gridCol w:w="2232"/>
        <w:gridCol w:w="2232"/>
        <w:gridCol w:w="2232"/>
      </w:tblGrid>
      <w:tr w:rsidR="00CC24B5" w:rsidRPr="00CC24B5" w:rsidTr="00CC24B5">
        <w:trPr>
          <w:trHeight w:val="444"/>
          <w:tblHeader/>
        </w:trPr>
        <w:tc>
          <w:tcPr>
            <w:tcW w:w="2232" w:type="dxa"/>
            <w:tcBorders>
              <w:top w:val="single" w:sz="1" w:space="0" w:color="BFBFBF"/>
              <w:left w:val="single" w:sz="1" w:space="0" w:color="BFBFBF"/>
              <w:bottom w:val="single" w:sz="1" w:space="0" w:color="BFBFBF"/>
              <w:right w:val="single" w:sz="1" w:space="0" w:color="BFBFBF"/>
            </w:tcBorders>
            <w:shd w:val="clear" w:color="auto" w:fill="2E75B6"/>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b/>
                <w:bCs/>
                <w:color w:val="FFFFFF"/>
                <w:sz w:val="20"/>
                <w:szCs w:val="20"/>
              </w:rPr>
              <w:t>Interval (nr. intreruperi/post)</w:t>
            </w:r>
          </w:p>
        </w:tc>
        <w:tc>
          <w:tcPr>
            <w:tcW w:w="2232" w:type="dxa"/>
            <w:tcBorders>
              <w:top w:val="single" w:sz="1" w:space="0" w:color="BFBFBF"/>
              <w:left w:val="single" w:sz="1" w:space="0" w:color="BFBFBF"/>
              <w:bottom w:val="single" w:sz="1" w:space="0" w:color="BFBFBF"/>
              <w:right w:val="single" w:sz="1" w:space="0" w:color="BFBFBF"/>
            </w:tcBorders>
            <w:shd w:val="clear" w:color="auto" w:fill="2E75B6"/>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b/>
                <w:bCs/>
                <w:color w:val="FFFFFF"/>
                <w:sz w:val="20"/>
                <w:szCs w:val="20"/>
              </w:rPr>
              <w:t>Nr. posturi</w:t>
            </w:r>
          </w:p>
        </w:tc>
        <w:tc>
          <w:tcPr>
            <w:tcW w:w="2232" w:type="dxa"/>
            <w:tcBorders>
              <w:top w:val="single" w:sz="1" w:space="0" w:color="BFBFBF"/>
              <w:left w:val="single" w:sz="1" w:space="0" w:color="BFBFBF"/>
              <w:bottom w:val="single" w:sz="1" w:space="0" w:color="BFBFBF"/>
              <w:right w:val="single" w:sz="1" w:space="0" w:color="BFBFBF"/>
            </w:tcBorders>
            <w:shd w:val="clear" w:color="auto" w:fill="2E75B6"/>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b/>
                <w:bCs/>
                <w:color w:val="FFFFFF"/>
                <w:sz w:val="20"/>
                <w:szCs w:val="20"/>
              </w:rPr>
              <w:t>Pondere</w:t>
            </w:r>
          </w:p>
        </w:tc>
        <w:tc>
          <w:tcPr>
            <w:tcW w:w="2232" w:type="dxa"/>
            <w:tcBorders>
              <w:top w:val="single" w:sz="1" w:space="0" w:color="BFBFBF"/>
              <w:left w:val="single" w:sz="1" w:space="0" w:color="BFBFBF"/>
              <w:bottom w:val="single" w:sz="1" w:space="0" w:color="BFBFBF"/>
              <w:right w:val="single" w:sz="1" w:space="0" w:color="BFBFBF"/>
            </w:tcBorders>
            <w:shd w:val="clear" w:color="auto" w:fill="2E75B6"/>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b/>
                <w:bCs/>
                <w:color w:val="FFFFFF"/>
                <w:sz w:val="20"/>
                <w:szCs w:val="20"/>
              </w:rPr>
              <w:t>Calificare</w:t>
            </w:r>
          </w:p>
        </w:tc>
      </w:tr>
      <w:tr w:rsidR="00CC24B5" w:rsidRPr="00CC24B5" w:rsidTr="00CC24B5">
        <w:trPr>
          <w:trHeight w:val="250"/>
        </w:trPr>
        <w:tc>
          <w:tcPr>
            <w:tcW w:w="2232" w:type="dxa"/>
            <w:tcBorders>
              <w:top w:val="single" w:sz="1" w:space="0" w:color="BFBFBF"/>
              <w:left w:val="single" w:sz="1" w:space="0" w:color="BFBFBF"/>
              <w:bottom w:val="single" w:sz="1" w:space="0" w:color="BFBFBF"/>
              <w:right w:val="single" w:sz="1" w:space="0" w:color="BFBFBF"/>
            </w:tcBorders>
            <w:shd w:val="clear" w:color="auto" w:fill="EBF3FB"/>
            <w:tcMar>
              <w:top w:w="60" w:type="dxa"/>
              <w:left w:w="120" w:type="dxa"/>
              <w:bottom w:w="60" w:type="dxa"/>
              <w:right w:w="120" w:type="dxa"/>
            </w:tcMar>
          </w:tcPr>
          <w:p w:rsidR="00CC24B5" w:rsidRPr="00CC24B5" w:rsidRDefault="00CC24B5" w:rsidP="00CC24B5">
            <w:pPr>
              <w:spacing w:before="40" w:after="40" w:line="240" w:lineRule="auto"/>
              <w:rPr>
                <w:rFonts w:ascii="Arial" w:eastAsia="Arial" w:hAnsi="Arial" w:cs="Arial"/>
              </w:rPr>
            </w:pPr>
            <w:r w:rsidRPr="00CC24B5">
              <w:rPr>
                <w:rFonts w:ascii="Calibri" w:eastAsia="Calibri" w:hAnsi="Calibri" w:cs="Calibri"/>
                <w:sz w:val="20"/>
                <w:szCs w:val="20"/>
              </w:rPr>
              <w:t>0 – 25</w:t>
            </w:r>
          </w:p>
        </w:tc>
        <w:tc>
          <w:tcPr>
            <w:tcW w:w="2232" w:type="dxa"/>
            <w:tcBorders>
              <w:top w:val="single" w:sz="1" w:space="0" w:color="BFBFBF"/>
              <w:left w:val="single" w:sz="1" w:space="0" w:color="BFBFBF"/>
              <w:bottom w:val="single" w:sz="1" w:space="0" w:color="BFBFBF"/>
              <w:right w:val="single" w:sz="1" w:space="0" w:color="BFBFBF"/>
            </w:tcBorders>
            <w:shd w:val="clear" w:color="auto" w:fill="EBF3FB"/>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3.617</w:t>
            </w:r>
          </w:p>
        </w:tc>
        <w:tc>
          <w:tcPr>
            <w:tcW w:w="2232" w:type="dxa"/>
            <w:tcBorders>
              <w:top w:val="single" w:sz="1" w:space="0" w:color="BFBFBF"/>
              <w:left w:val="single" w:sz="1" w:space="0" w:color="BFBFBF"/>
              <w:bottom w:val="single" w:sz="1" w:space="0" w:color="BFBFBF"/>
              <w:right w:val="single" w:sz="1" w:space="0" w:color="BFBFBF"/>
            </w:tcBorders>
            <w:shd w:val="clear" w:color="auto" w:fill="EBF3FB"/>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83,7%</w:t>
            </w:r>
          </w:p>
        </w:tc>
        <w:tc>
          <w:tcPr>
            <w:tcW w:w="2232" w:type="dxa"/>
            <w:tcBorders>
              <w:top w:val="single" w:sz="1" w:space="0" w:color="BFBFBF"/>
              <w:left w:val="single" w:sz="1" w:space="0" w:color="BFBFBF"/>
              <w:bottom w:val="single" w:sz="1" w:space="0" w:color="BFBFBF"/>
              <w:right w:val="single" w:sz="1" w:space="0" w:color="BFBFBF"/>
            </w:tcBorders>
            <w:shd w:val="clear" w:color="auto" w:fill="EBF3FB"/>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Nivel normal</w:t>
            </w:r>
          </w:p>
        </w:tc>
      </w:tr>
      <w:tr w:rsidR="00CC24B5" w:rsidRPr="00CC24B5" w:rsidTr="00CC24B5">
        <w:trPr>
          <w:trHeight w:val="250"/>
        </w:trPr>
        <w:tc>
          <w:tcPr>
            <w:tcW w:w="2232" w:type="dxa"/>
            <w:tcBorders>
              <w:top w:val="single" w:sz="1" w:space="0" w:color="BFBFBF"/>
              <w:left w:val="single" w:sz="1" w:space="0" w:color="BFBFBF"/>
              <w:bottom w:val="single" w:sz="1" w:space="0" w:color="BFBFBF"/>
              <w:right w:val="single" w:sz="1" w:space="0" w:color="BFBFBF"/>
            </w:tcBorders>
            <w:shd w:val="clear" w:color="auto" w:fill="FFFFFF"/>
            <w:tcMar>
              <w:top w:w="60" w:type="dxa"/>
              <w:left w:w="120" w:type="dxa"/>
              <w:bottom w:w="60" w:type="dxa"/>
              <w:right w:w="120" w:type="dxa"/>
            </w:tcMar>
          </w:tcPr>
          <w:p w:rsidR="00CC24B5" w:rsidRPr="00CC24B5" w:rsidRDefault="00CC24B5" w:rsidP="00CC24B5">
            <w:pPr>
              <w:spacing w:before="40" w:after="40" w:line="240" w:lineRule="auto"/>
              <w:rPr>
                <w:rFonts w:ascii="Arial" w:eastAsia="Arial" w:hAnsi="Arial" w:cs="Arial"/>
              </w:rPr>
            </w:pPr>
            <w:r w:rsidRPr="00CC24B5">
              <w:rPr>
                <w:rFonts w:ascii="Calibri" w:eastAsia="Calibri" w:hAnsi="Calibri" w:cs="Calibri"/>
                <w:sz w:val="20"/>
                <w:szCs w:val="20"/>
              </w:rPr>
              <w:t>25 – 50</w:t>
            </w:r>
          </w:p>
        </w:tc>
        <w:tc>
          <w:tcPr>
            <w:tcW w:w="2232" w:type="dxa"/>
            <w:tcBorders>
              <w:top w:val="single" w:sz="1" w:space="0" w:color="BFBFBF"/>
              <w:left w:val="single" w:sz="1" w:space="0" w:color="BFBFBF"/>
              <w:bottom w:val="single" w:sz="1" w:space="0" w:color="BFBFBF"/>
              <w:right w:val="single" w:sz="1" w:space="0" w:color="BFBFBF"/>
            </w:tcBorders>
            <w:shd w:val="clear" w:color="auto" w:fill="FFFFFF"/>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510</w:t>
            </w:r>
          </w:p>
        </w:tc>
        <w:tc>
          <w:tcPr>
            <w:tcW w:w="2232" w:type="dxa"/>
            <w:tcBorders>
              <w:top w:val="single" w:sz="1" w:space="0" w:color="BFBFBF"/>
              <w:left w:val="single" w:sz="1" w:space="0" w:color="BFBFBF"/>
              <w:bottom w:val="single" w:sz="1" w:space="0" w:color="BFBFBF"/>
              <w:right w:val="single" w:sz="1" w:space="0" w:color="BFBFBF"/>
            </w:tcBorders>
            <w:shd w:val="clear" w:color="auto" w:fill="FFFFFF"/>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11,8%</w:t>
            </w:r>
          </w:p>
        </w:tc>
        <w:tc>
          <w:tcPr>
            <w:tcW w:w="2232" w:type="dxa"/>
            <w:tcBorders>
              <w:top w:val="single" w:sz="1" w:space="0" w:color="BFBFBF"/>
              <w:left w:val="single" w:sz="1" w:space="0" w:color="BFBFBF"/>
              <w:bottom w:val="single" w:sz="1" w:space="0" w:color="BFBFBF"/>
              <w:right w:val="single" w:sz="1" w:space="0" w:color="BFBFBF"/>
            </w:tcBorders>
            <w:shd w:val="clear" w:color="auto" w:fill="FFFFFF"/>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Nivel moderat</w:t>
            </w:r>
          </w:p>
        </w:tc>
      </w:tr>
      <w:tr w:rsidR="00CC24B5" w:rsidRPr="00CC24B5" w:rsidTr="00CC24B5">
        <w:trPr>
          <w:trHeight w:val="250"/>
        </w:trPr>
        <w:tc>
          <w:tcPr>
            <w:tcW w:w="2232" w:type="dxa"/>
            <w:tcBorders>
              <w:top w:val="single" w:sz="1" w:space="0" w:color="BFBFBF"/>
              <w:left w:val="single" w:sz="1" w:space="0" w:color="BFBFBF"/>
              <w:bottom w:val="single" w:sz="1" w:space="0" w:color="BFBFBF"/>
              <w:right w:val="single" w:sz="1" w:space="0" w:color="BFBFBF"/>
            </w:tcBorders>
            <w:shd w:val="clear" w:color="auto" w:fill="EBF3FB"/>
            <w:tcMar>
              <w:top w:w="60" w:type="dxa"/>
              <w:left w:w="120" w:type="dxa"/>
              <w:bottom w:w="60" w:type="dxa"/>
              <w:right w:w="120" w:type="dxa"/>
            </w:tcMar>
          </w:tcPr>
          <w:p w:rsidR="00CC24B5" w:rsidRPr="00CC24B5" w:rsidRDefault="00CC24B5" w:rsidP="00CC24B5">
            <w:pPr>
              <w:spacing w:before="40" w:after="40" w:line="240" w:lineRule="auto"/>
              <w:rPr>
                <w:rFonts w:ascii="Arial" w:eastAsia="Arial" w:hAnsi="Arial" w:cs="Arial"/>
              </w:rPr>
            </w:pPr>
            <w:r w:rsidRPr="00CC24B5">
              <w:rPr>
                <w:rFonts w:ascii="Calibri" w:eastAsia="Calibri" w:hAnsi="Calibri" w:cs="Calibri"/>
                <w:sz w:val="20"/>
                <w:szCs w:val="20"/>
              </w:rPr>
              <w:t>50 – 75</w:t>
            </w:r>
          </w:p>
        </w:tc>
        <w:tc>
          <w:tcPr>
            <w:tcW w:w="2232" w:type="dxa"/>
            <w:tcBorders>
              <w:top w:val="single" w:sz="1" w:space="0" w:color="BFBFBF"/>
              <w:left w:val="single" w:sz="1" w:space="0" w:color="BFBFBF"/>
              <w:bottom w:val="single" w:sz="1" w:space="0" w:color="BFBFBF"/>
              <w:right w:val="single" w:sz="1" w:space="0" w:color="BFBFBF"/>
            </w:tcBorders>
            <w:shd w:val="clear" w:color="auto" w:fill="EBF3FB"/>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112</w:t>
            </w:r>
          </w:p>
        </w:tc>
        <w:tc>
          <w:tcPr>
            <w:tcW w:w="2232" w:type="dxa"/>
            <w:tcBorders>
              <w:top w:val="single" w:sz="1" w:space="0" w:color="BFBFBF"/>
              <w:left w:val="single" w:sz="1" w:space="0" w:color="BFBFBF"/>
              <w:bottom w:val="single" w:sz="1" w:space="0" w:color="BFBFBF"/>
              <w:right w:val="single" w:sz="1" w:space="0" w:color="BFBFBF"/>
            </w:tcBorders>
            <w:shd w:val="clear" w:color="auto" w:fill="EBF3FB"/>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2,6%</w:t>
            </w:r>
          </w:p>
        </w:tc>
        <w:tc>
          <w:tcPr>
            <w:tcW w:w="2232" w:type="dxa"/>
            <w:tcBorders>
              <w:top w:val="single" w:sz="1" w:space="0" w:color="BFBFBF"/>
              <w:left w:val="single" w:sz="1" w:space="0" w:color="BFBFBF"/>
              <w:bottom w:val="single" w:sz="1" w:space="0" w:color="BFBFBF"/>
              <w:right w:val="single" w:sz="1" w:space="0" w:color="BFBFBF"/>
            </w:tcBorders>
            <w:shd w:val="clear" w:color="auto" w:fill="EBF3FB"/>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Nivel ridicat</w:t>
            </w:r>
          </w:p>
        </w:tc>
      </w:tr>
      <w:tr w:rsidR="00CC24B5" w:rsidRPr="00CC24B5" w:rsidTr="00CC24B5">
        <w:trPr>
          <w:trHeight w:val="250"/>
        </w:trPr>
        <w:tc>
          <w:tcPr>
            <w:tcW w:w="2232" w:type="dxa"/>
            <w:tcBorders>
              <w:top w:val="single" w:sz="1" w:space="0" w:color="BFBFBF"/>
              <w:left w:val="single" w:sz="1" w:space="0" w:color="BFBFBF"/>
              <w:bottom w:val="single" w:sz="1" w:space="0" w:color="BFBFBF"/>
              <w:right w:val="single" w:sz="1" w:space="0" w:color="BFBFBF"/>
            </w:tcBorders>
            <w:shd w:val="clear" w:color="auto" w:fill="FFFFFF"/>
            <w:tcMar>
              <w:top w:w="60" w:type="dxa"/>
              <w:left w:w="120" w:type="dxa"/>
              <w:bottom w:w="60" w:type="dxa"/>
              <w:right w:w="120" w:type="dxa"/>
            </w:tcMar>
          </w:tcPr>
          <w:p w:rsidR="00CC24B5" w:rsidRPr="00CC24B5" w:rsidRDefault="00CC24B5" w:rsidP="00CC24B5">
            <w:pPr>
              <w:spacing w:before="40" w:after="40" w:line="240" w:lineRule="auto"/>
              <w:rPr>
                <w:rFonts w:ascii="Arial" w:eastAsia="Arial" w:hAnsi="Arial" w:cs="Arial"/>
              </w:rPr>
            </w:pPr>
            <w:r w:rsidRPr="00CC24B5">
              <w:rPr>
                <w:rFonts w:ascii="Calibri" w:eastAsia="Calibri" w:hAnsi="Calibri" w:cs="Calibri"/>
                <w:sz w:val="20"/>
                <w:szCs w:val="20"/>
              </w:rPr>
              <w:t>75 – 100</w:t>
            </w:r>
          </w:p>
        </w:tc>
        <w:tc>
          <w:tcPr>
            <w:tcW w:w="2232" w:type="dxa"/>
            <w:tcBorders>
              <w:top w:val="single" w:sz="1" w:space="0" w:color="BFBFBF"/>
              <w:left w:val="single" w:sz="1" w:space="0" w:color="BFBFBF"/>
              <w:bottom w:val="single" w:sz="1" w:space="0" w:color="BFBFBF"/>
              <w:right w:val="single" w:sz="1" w:space="0" w:color="BFBFBF"/>
            </w:tcBorders>
            <w:shd w:val="clear" w:color="auto" w:fill="FFFFFF"/>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49</w:t>
            </w:r>
          </w:p>
        </w:tc>
        <w:tc>
          <w:tcPr>
            <w:tcW w:w="2232" w:type="dxa"/>
            <w:tcBorders>
              <w:top w:val="single" w:sz="1" w:space="0" w:color="BFBFBF"/>
              <w:left w:val="single" w:sz="1" w:space="0" w:color="BFBFBF"/>
              <w:bottom w:val="single" w:sz="1" w:space="0" w:color="BFBFBF"/>
              <w:right w:val="single" w:sz="1" w:space="0" w:color="BFBFBF"/>
            </w:tcBorders>
            <w:shd w:val="clear" w:color="auto" w:fill="FFFFFF"/>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1,1%</w:t>
            </w:r>
          </w:p>
        </w:tc>
        <w:tc>
          <w:tcPr>
            <w:tcW w:w="2232" w:type="dxa"/>
            <w:tcBorders>
              <w:top w:val="single" w:sz="1" w:space="0" w:color="BFBFBF"/>
              <w:left w:val="single" w:sz="1" w:space="0" w:color="BFBFBF"/>
              <w:bottom w:val="single" w:sz="1" w:space="0" w:color="BFBFBF"/>
              <w:right w:val="single" w:sz="1" w:space="0" w:color="BFBFBF"/>
            </w:tcBorders>
            <w:shd w:val="clear" w:color="auto" w:fill="FFFFFF"/>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Nivel critic</w:t>
            </w:r>
          </w:p>
        </w:tc>
      </w:tr>
      <w:tr w:rsidR="00CC24B5" w:rsidRPr="00CC24B5" w:rsidTr="00CC24B5">
        <w:trPr>
          <w:trHeight w:val="259"/>
        </w:trPr>
        <w:tc>
          <w:tcPr>
            <w:tcW w:w="2232" w:type="dxa"/>
            <w:tcBorders>
              <w:top w:val="single" w:sz="1" w:space="0" w:color="BFBFBF"/>
              <w:left w:val="single" w:sz="1" w:space="0" w:color="BFBFBF"/>
              <w:bottom w:val="single" w:sz="1" w:space="0" w:color="BFBFBF"/>
              <w:right w:val="single" w:sz="1" w:space="0" w:color="BFBFBF"/>
            </w:tcBorders>
            <w:shd w:val="clear" w:color="auto" w:fill="EBF3FB"/>
            <w:tcMar>
              <w:top w:w="60" w:type="dxa"/>
              <w:left w:w="120" w:type="dxa"/>
              <w:bottom w:w="60" w:type="dxa"/>
              <w:right w:w="120" w:type="dxa"/>
            </w:tcMar>
          </w:tcPr>
          <w:p w:rsidR="00CC24B5" w:rsidRPr="00CC24B5" w:rsidRDefault="00CC24B5" w:rsidP="00CC24B5">
            <w:pPr>
              <w:spacing w:before="40" w:after="40" w:line="240" w:lineRule="auto"/>
              <w:rPr>
                <w:rFonts w:ascii="Arial" w:eastAsia="Arial" w:hAnsi="Arial" w:cs="Arial"/>
              </w:rPr>
            </w:pPr>
            <w:r w:rsidRPr="00CC24B5">
              <w:rPr>
                <w:rFonts w:ascii="Calibri" w:eastAsia="Calibri" w:hAnsi="Calibri" w:cs="Calibri"/>
                <w:sz w:val="20"/>
                <w:szCs w:val="20"/>
              </w:rPr>
              <w:t>&gt; 100</w:t>
            </w:r>
          </w:p>
        </w:tc>
        <w:tc>
          <w:tcPr>
            <w:tcW w:w="2232" w:type="dxa"/>
            <w:tcBorders>
              <w:top w:val="single" w:sz="1" w:space="0" w:color="BFBFBF"/>
              <w:left w:val="single" w:sz="1" w:space="0" w:color="BFBFBF"/>
              <w:bottom w:val="single" w:sz="1" w:space="0" w:color="BFBFBF"/>
              <w:right w:val="single" w:sz="1" w:space="0" w:color="BFBFBF"/>
            </w:tcBorders>
            <w:shd w:val="clear" w:color="auto" w:fill="EBF3FB"/>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32</w:t>
            </w:r>
          </w:p>
        </w:tc>
        <w:tc>
          <w:tcPr>
            <w:tcW w:w="2232" w:type="dxa"/>
            <w:tcBorders>
              <w:top w:val="single" w:sz="1" w:space="0" w:color="BFBFBF"/>
              <w:left w:val="single" w:sz="1" w:space="0" w:color="BFBFBF"/>
              <w:bottom w:val="single" w:sz="1" w:space="0" w:color="BFBFBF"/>
              <w:right w:val="single" w:sz="1" w:space="0" w:color="BFBFBF"/>
            </w:tcBorders>
            <w:shd w:val="clear" w:color="auto" w:fill="EBF3FB"/>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0,7%</w:t>
            </w:r>
          </w:p>
        </w:tc>
        <w:tc>
          <w:tcPr>
            <w:tcW w:w="2232" w:type="dxa"/>
            <w:tcBorders>
              <w:top w:val="single" w:sz="1" w:space="0" w:color="BFBFBF"/>
              <w:left w:val="single" w:sz="1" w:space="0" w:color="BFBFBF"/>
              <w:bottom w:val="single" w:sz="1" w:space="0" w:color="BFBFBF"/>
              <w:right w:val="single" w:sz="1" w:space="0" w:color="BFBFBF"/>
            </w:tcBorders>
            <w:shd w:val="clear" w:color="auto" w:fill="EBF3FB"/>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Nivel critic</w:t>
            </w:r>
          </w:p>
        </w:tc>
      </w:tr>
    </w:tbl>
    <w:p w:rsidR="00CC24B5" w:rsidRPr="00CC24B5" w:rsidRDefault="00CC24B5" w:rsidP="00CC24B5">
      <w:pPr>
        <w:keepNext/>
        <w:spacing w:before="160" w:after="80" w:line="240" w:lineRule="auto"/>
        <w:jc w:val="center"/>
        <w:rPr>
          <w:rFonts w:ascii="Arial" w:eastAsia="Arial" w:hAnsi="Arial" w:cs="Arial"/>
        </w:rPr>
      </w:pPr>
      <w:r w:rsidRPr="00CC24B5">
        <w:rPr>
          <w:rFonts w:ascii="Calibri" w:eastAsia="Calibri" w:hAnsi="Calibri" w:cs="Calibri"/>
          <w:noProof/>
        </w:rPr>
        <w:lastRenderedPageBreak/>
        <w:drawing>
          <wp:inline distT="0" distB="0" distL="0" distR="0" wp14:anchorId="6E47BF3A" wp14:editId="518013E6">
            <wp:extent cx="4107180" cy="2481421"/>
            <wp:effectExtent l="0" t="0" r="7620" b="0"/>
            <wp:docPr id="1937700993" name="Picture 1937700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3"/>
                    <a:srcRect/>
                    <a:stretch>
                      <a:fillRect/>
                    </a:stretch>
                  </pic:blipFill>
                  <pic:spPr bwMode="auto">
                    <a:xfrm>
                      <a:off x="0" y="0"/>
                      <a:ext cx="4112992" cy="2484933"/>
                    </a:xfrm>
                    <a:prstGeom prst="rect">
                      <a:avLst/>
                    </a:prstGeom>
                  </pic:spPr>
                </pic:pic>
              </a:graphicData>
            </a:graphic>
          </wp:inline>
        </w:drawing>
      </w:r>
    </w:p>
    <w:p w:rsidR="00CC24B5" w:rsidRPr="00CC24B5" w:rsidRDefault="00CC24B5" w:rsidP="00CC24B5">
      <w:pPr>
        <w:spacing w:before="40" w:after="240" w:line="240" w:lineRule="auto"/>
        <w:jc w:val="center"/>
        <w:rPr>
          <w:rFonts w:ascii="Arial" w:eastAsia="Arial" w:hAnsi="Arial" w:cs="Arial"/>
        </w:rPr>
      </w:pPr>
      <w:r w:rsidRPr="00CC24B5">
        <w:rPr>
          <w:rFonts w:ascii="Calibri" w:eastAsia="Calibri" w:hAnsi="Calibri" w:cs="Calibri"/>
          <w:i/>
          <w:iCs/>
          <w:color w:val="595959"/>
          <w:sz w:val="20"/>
          <w:szCs w:val="18"/>
        </w:rPr>
        <w:t>Figura 3.4 – Distributia posturilor pe intervale de intreruperi scurte</w:t>
      </w:r>
    </w:p>
    <w:p w:rsidR="00CC24B5" w:rsidRPr="00CC24B5" w:rsidRDefault="00CC24B5" w:rsidP="00CC24B5">
      <w:pPr>
        <w:spacing w:before="80" w:after="80" w:line="240" w:lineRule="auto"/>
        <w:jc w:val="both"/>
        <w:rPr>
          <w:rFonts w:ascii="Arial" w:eastAsia="Arial" w:hAnsi="Arial" w:cs="Arial"/>
        </w:rPr>
      </w:pPr>
      <w:r w:rsidRPr="00CC24B5">
        <w:rPr>
          <w:rFonts w:ascii="Calibri" w:eastAsia="Calibri" w:hAnsi="Calibri" w:cs="Calibri"/>
          <w:b/>
          <w:bCs/>
        </w:rPr>
        <w:t xml:space="preserve">Concluzie: </w:t>
      </w:r>
      <w:r w:rsidRPr="00CC24B5">
        <w:rPr>
          <w:rFonts w:ascii="Calibri" w:eastAsia="Calibri" w:hAnsi="Calibri" w:cs="Calibri"/>
        </w:rPr>
        <w:t xml:space="preserve">Cele 81 posturi cu peste </w:t>
      </w:r>
      <w:r w:rsidRPr="00CC24B5">
        <w:rPr>
          <w:rFonts w:ascii="Calibri" w:eastAsia="Calibri" w:hAnsi="Calibri" w:cs="Calibri"/>
          <w:color w:val="000000"/>
        </w:rPr>
        <w:t>75 de intreruperi scurte necesita actiuni prioritare de remediere (verificare echipamente de protectie, reglaje relee etc.).</w:t>
      </w:r>
    </w:p>
    <w:p w:rsidR="00CC24B5" w:rsidRPr="00CC24B5" w:rsidRDefault="00CC24B5" w:rsidP="00CC24B5">
      <w:pPr>
        <w:keepNext/>
        <w:spacing w:before="280" w:after="120" w:line="240" w:lineRule="auto"/>
        <w:outlineLvl w:val="1"/>
        <w:rPr>
          <w:rFonts w:ascii="Arial" w:eastAsia="Arial" w:hAnsi="Arial" w:cs="Arial"/>
          <w:b/>
          <w:bCs/>
          <w:color w:val="2E75B6"/>
          <w:sz w:val="28"/>
          <w:szCs w:val="28"/>
        </w:rPr>
      </w:pPr>
      <w:bookmarkStart w:id="5" w:name="_Toc232168941"/>
      <w:r w:rsidRPr="00CC24B5">
        <w:rPr>
          <w:rFonts w:ascii="Calibri" w:eastAsia="Calibri" w:hAnsi="Calibri" w:cs="Calibri"/>
          <w:b/>
          <w:bCs/>
          <w:color w:val="2E75B6"/>
          <w:sz w:val="28"/>
          <w:szCs w:val="28"/>
        </w:rPr>
        <w:t>3.1.5 Intreruperi lungi</w:t>
      </w:r>
      <w:bookmarkEnd w:id="5"/>
    </w:p>
    <w:p w:rsidR="00CC24B5" w:rsidRPr="00CC24B5" w:rsidRDefault="00CC24B5" w:rsidP="00CC24B5">
      <w:pPr>
        <w:spacing w:before="80" w:after="80" w:line="240" w:lineRule="auto"/>
        <w:jc w:val="both"/>
        <w:rPr>
          <w:rFonts w:ascii="Arial" w:eastAsia="Arial" w:hAnsi="Arial" w:cs="Arial"/>
        </w:rPr>
      </w:pPr>
      <w:r w:rsidRPr="00CC24B5">
        <w:rPr>
          <w:rFonts w:ascii="Calibri" w:eastAsia="Calibri" w:hAnsi="Calibri" w:cs="Calibri"/>
          <w:color w:val="000000"/>
        </w:rPr>
        <w:t xml:space="preserve">Intreruperile lungi sunt evenimentele cu durata mai mare de 3 </w:t>
      </w:r>
      <w:proofErr w:type="gramStart"/>
      <w:r w:rsidRPr="00CC24B5">
        <w:rPr>
          <w:rFonts w:ascii="Calibri" w:eastAsia="Calibri" w:hAnsi="Calibri" w:cs="Calibri"/>
          <w:color w:val="000000"/>
        </w:rPr>
        <w:t>minute</w:t>
      </w:r>
      <w:proofErr w:type="gramEnd"/>
      <w:r w:rsidRPr="00CC24B5">
        <w:rPr>
          <w:rFonts w:ascii="Calibri" w:eastAsia="Calibri" w:hAnsi="Calibri" w:cs="Calibri"/>
          <w:color w:val="000000"/>
        </w:rPr>
        <w:t>. Distributia posturilor pe intervale este prezentata in tabelul urmator:</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2340"/>
        <w:gridCol w:w="2340"/>
        <w:gridCol w:w="2340"/>
        <w:gridCol w:w="2340"/>
      </w:tblGrid>
      <w:tr w:rsidR="00CC24B5" w:rsidRPr="00CC24B5" w:rsidTr="00CC24B5">
        <w:trPr>
          <w:tblHeader/>
        </w:trPr>
        <w:tc>
          <w:tcPr>
            <w:tcW w:w="2340" w:type="dxa"/>
            <w:tcBorders>
              <w:top w:val="single" w:sz="1" w:space="0" w:color="BFBFBF"/>
              <w:left w:val="single" w:sz="1" w:space="0" w:color="BFBFBF"/>
              <w:bottom w:val="single" w:sz="1" w:space="0" w:color="BFBFBF"/>
              <w:right w:val="single" w:sz="1" w:space="0" w:color="BFBFBF"/>
            </w:tcBorders>
            <w:shd w:val="clear" w:color="auto" w:fill="2E75B6"/>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b/>
                <w:bCs/>
                <w:color w:val="FFFFFF"/>
                <w:sz w:val="20"/>
                <w:szCs w:val="20"/>
              </w:rPr>
              <w:t>Interval (nr. intreruperi/post)</w:t>
            </w:r>
          </w:p>
        </w:tc>
        <w:tc>
          <w:tcPr>
            <w:tcW w:w="2340" w:type="dxa"/>
            <w:tcBorders>
              <w:top w:val="single" w:sz="1" w:space="0" w:color="BFBFBF"/>
              <w:left w:val="single" w:sz="1" w:space="0" w:color="BFBFBF"/>
              <w:bottom w:val="single" w:sz="1" w:space="0" w:color="BFBFBF"/>
              <w:right w:val="single" w:sz="1" w:space="0" w:color="BFBFBF"/>
            </w:tcBorders>
            <w:shd w:val="clear" w:color="auto" w:fill="2E75B6"/>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b/>
                <w:bCs/>
                <w:color w:val="FFFFFF"/>
                <w:sz w:val="20"/>
                <w:szCs w:val="20"/>
              </w:rPr>
              <w:t>Nr. posturi</w:t>
            </w:r>
          </w:p>
        </w:tc>
        <w:tc>
          <w:tcPr>
            <w:tcW w:w="2340" w:type="dxa"/>
            <w:tcBorders>
              <w:top w:val="single" w:sz="1" w:space="0" w:color="BFBFBF"/>
              <w:left w:val="single" w:sz="1" w:space="0" w:color="BFBFBF"/>
              <w:bottom w:val="single" w:sz="1" w:space="0" w:color="BFBFBF"/>
              <w:right w:val="single" w:sz="1" w:space="0" w:color="BFBFBF"/>
            </w:tcBorders>
            <w:shd w:val="clear" w:color="auto" w:fill="2E75B6"/>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b/>
                <w:bCs/>
                <w:color w:val="FFFFFF"/>
                <w:sz w:val="20"/>
                <w:szCs w:val="20"/>
              </w:rPr>
              <w:t>Pondere</w:t>
            </w:r>
          </w:p>
        </w:tc>
        <w:tc>
          <w:tcPr>
            <w:tcW w:w="2340" w:type="dxa"/>
            <w:tcBorders>
              <w:top w:val="single" w:sz="1" w:space="0" w:color="BFBFBF"/>
              <w:left w:val="single" w:sz="1" w:space="0" w:color="BFBFBF"/>
              <w:bottom w:val="single" w:sz="1" w:space="0" w:color="BFBFBF"/>
              <w:right w:val="single" w:sz="1" w:space="0" w:color="BFBFBF"/>
            </w:tcBorders>
            <w:shd w:val="clear" w:color="auto" w:fill="2E75B6"/>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b/>
                <w:bCs/>
                <w:color w:val="FFFFFF"/>
                <w:sz w:val="20"/>
                <w:szCs w:val="20"/>
              </w:rPr>
              <w:t>Calificare</w:t>
            </w:r>
          </w:p>
        </w:tc>
      </w:tr>
      <w:tr w:rsidR="00CC24B5" w:rsidRPr="00CC24B5" w:rsidTr="00CC24B5">
        <w:tc>
          <w:tcPr>
            <w:tcW w:w="2340" w:type="dxa"/>
            <w:tcBorders>
              <w:top w:val="single" w:sz="1" w:space="0" w:color="BFBFBF"/>
              <w:left w:val="single" w:sz="1" w:space="0" w:color="BFBFBF"/>
              <w:bottom w:val="single" w:sz="1" w:space="0" w:color="BFBFBF"/>
              <w:right w:val="single" w:sz="1" w:space="0" w:color="BFBFBF"/>
            </w:tcBorders>
            <w:shd w:val="clear" w:color="auto" w:fill="EBF3FB"/>
            <w:tcMar>
              <w:top w:w="60" w:type="dxa"/>
              <w:left w:w="120" w:type="dxa"/>
              <w:bottom w:w="60" w:type="dxa"/>
              <w:right w:w="120" w:type="dxa"/>
            </w:tcMar>
          </w:tcPr>
          <w:p w:rsidR="00CC24B5" w:rsidRPr="00CC24B5" w:rsidRDefault="00CC24B5" w:rsidP="00CC24B5">
            <w:pPr>
              <w:spacing w:before="40" w:after="40" w:line="240" w:lineRule="auto"/>
              <w:rPr>
                <w:rFonts w:ascii="Arial" w:eastAsia="Arial" w:hAnsi="Arial" w:cs="Arial"/>
              </w:rPr>
            </w:pPr>
            <w:r w:rsidRPr="00CC24B5">
              <w:rPr>
                <w:rFonts w:ascii="Calibri" w:eastAsia="Calibri" w:hAnsi="Calibri" w:cs="Calibri"/>
                <w:sz w:val="20"/>
                <w:szCs w:val="20"/>
              </w:rPr>
              <w:t>0 – 8</w:t>
            </w:r>
          </w:p>
        </w:tc>
        <w:tc>
          <w:tcPr>
            <w:tcW w:w="2340" w:type="dxa"/>
            <w:tcBorders>
              <w:top w:val="single" w:sz="1" w:space="0" w:color="BFBFBF"/>
              <w:left w:val="single" w:sz="1" w:space="0" w:color="BFBFBF"/>
              <w:bottom w:val="single" w:sz="1" w:space="0" w:color="BFBFBF"/>
              <w:right w:val="single" w:sz="1" w:space="0" w:color="BFBFBF"/>
            </w:tcBorders>
            <w:shd w:val="clear" w:color="auto" w:fill="EBF3FB"/>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2.675</w:t>
            </w:r>
          </w:p>
        </w:tc>
        <w:tc>
          <w:tcPr>
            <w:tcW w:w="2340" w:type="dxa"/>
            <w:tcBorders>
              <w:top w:val="single" w:sz="1" w:space="0" w:color="BFBFBF"/>
              <w:left w:val="single" w:sz="1" w:space="0" w:color="BFBFBF"/>
              <w:bottom w:val="single" w:sz="1" w:space="0" w:color="BFBFBF"/>
              <w:right w:val="single" w:sz="1" w:space="0" w:color="BFBFBF"/>
            </w:tcBorders>
            <w:shd w:val="clear" w:color="auto" w:fill="EBF3FB"/>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61,9%</w:t>
            </w:r>
          </w:p>
        </w:tc>
        <w:tc>
          <w:tcPr>
            <w:tcW w:w="2340" w:type="dxa"/>
            <w:tcBorders>
              <w:top w:val="single" w:sz="1" w:space="0" w:color="BFBFBF"/>
              <w:left w:val="single" w:sz="1" w:space="0" w:color="BFBFBF"/>
              <w:bottom w:val="single" w:sz="1" w:space="0" w:color="BFBFBF"/>
              <w:right w:val="single" w:sz="1" w:space="0" w:color="BFBFBF"/>
            </w:tcBorders>
            <w:shd w:val="clear" w:color="auto" w:fill="EBF3FB"/>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Nivel normal</w:t>
            </w:r>
          </w:p>
        </w:tc>
      </w:tr>
      <w:tr w:rsidR="00CC24B5" w:rsidRPr="00CC24B5" w:rsidTr="00CC24B5">
        <w:tc>
          <w:tcPr>
            <w:tcW w:w="2340" w:type="dxa"/>
            <w:tcBorders>
              <w:top w:val="single" w:sz="1" w:space="0" w:color="BFBFBF"/>
              <w:left w:val="single" w:sz="1" w:space="0" w:color="BFBFBF"/>
              <w:bottom w:val="single" w:sz="1" w:space="0" w:color="BFBFBF"/>
              <w:right w:val="single" w:sz="1" w:space="0" w:color="BFBFBF"/>
            </w:tcBorders>
            <w:shd w:val="clear" w:color="auto" w:fill="FFFFFF"/>
            <w:tcMar>
              <w:top w:w="60" w:type="dxa"/>
              <w:left w:w="120" w:type="dxa"/>
              <w:bottom w:w="60" w:type="dxa"/>
              <w:right w:w="120" w:type="dxa"/>
            </w:tcMar>
          </w:tcPr>
          <w:p w:rsidR="00CC24B5" w:rsidRPr="00CC24B5" w:rsidRDefault="00CC24B5" w:rsidP="00CC24B5">
            <w:pPr>
              <w:spacing w:before="40" w:after="40" w:line="240" w:lineRule="auto"/>
              <w:rPr>
                <w:rFonts w:ascii="Arial" w:eastAsia="Arial" w:hAnsi="Arial" w:cs="Arial"/>
              </w:rPr>
            </w:pPr>
            <w:r w:rsidRPr="00CC24B5">
              <w:rPr>
                <w:rFonts w:ascii="Calibri" w:eastAsia="Calibri" w:hAnsi="Calibri" w:cs="Calibri"/>
                <w:sz w:val="20"/>
                <w:szCs w:val="20"/>
              </w:rPr>
              <w:t>9-20</w:t>
            </w:r>
          </w:p>
        </w:tc>
        <w:tc>
          <w:tcPr>
            <w:tcW w:w="2340" w:type="dxa"/>
            <w:tcBorders>
              <w:top w:val="single" w:sz="1" w:space="0" w:color="BFBFBF"/>
              <w:left w:val="single" w:sz="1" w:space="0" w:color="BFBFBF"/>
              <w:bottom w:val="single" w:sz="1" w:space="0" w:color="BFBFBF"/>
              <w:right w:val="single" w:sz="1" w:space="0" w:color="BFBFBF"/>
            </w:tcBorders>
            <w:shd w:val="clear" w:color="auto" w:fill="FFFFFF"/>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rPr>
              <w:t>1217</w:t>
            </w:r>
          </w:p>
        </w:tc>
        <w:tc>
          <w:tcPr>
            <w:tcW w:w="2340" w:type="dxa"/>
            <w:tcBorders>
              <w:top w:val="single" w:sz="1" w:space="0" w:color="BFBFBF"/>
              <w:left w:val="single" w:sz="1" w:space="0" w:color="BFBFBF"/>
              <w:bottom w:val="single" w:sz="1" w:space="0" w:color="BFBFBF"/>
              <w:right w:val="single" w:sz="1" w:space="0" w:color="BFBFBF"/>
            </w:tcBorders>
            <w:shd w:val="clear" w:color="auto" w:fill="FFFFFF"/>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28,1%</w:t>
            </w:r>
          </w:p>
        </w:tc>
        <w:tc>
          <w:tcPr>
            <w:tcW w:w="2340" w:type="dxa"/>
            <w:tcBorders>
              <w:top w:val="single" w:sz="1" w:space="0" w:color="BFBFBF"/>
              <w:left w:val="single" w:sz="1" w:space="0" w:color="BFBFBF"/>
              <w:bottom w:val="single" w:sz="1" w:space="0" w:color="BFBFBF"/>
              <w:right w:val="single" w:sz="1" w:space="0" w:color="BFBFBF"/>
            </w:tcBorders>
            <w:shd w:val="clear" w:color="auto" w:fill="FFFFFF"/>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Nivel moderat</w:t>
            </w:r>
          </w:p>
        </w:tc>
      </w:tr>
      <w:tr w:rsidR="00CC24B5" w:rsidRPr="00CC24B5" w:rsidTr="00CC24B5">
        <w:tc>
          <w:tcPr>
            <w:tcW w:w="2340" w:type="dxa"/>
            <w:tcBorders>
              <w:top w:val="single" w:sz="1" w:space="0" w:color="BFBFBF"/>
              <w:left w:val="single" w:sz="1" w:space="0" w:color="BFBFBF"/>
              <w:bottom w:val="single" w:sz="1" w:space="0" w:color="BFBFBF"/>
              <w:right w:val="single" w:sz="1" w:space="0" w:color="BFBFBF"/>
            </w:tcBorders>
            <w:shd w:val="clear" w:color="auto" w:fill="EBF3FB"/>
            <w:tcMar>
              <w:top w:w="60" w:type="dxa"/>
              <w:left w:w="120" w:type="dxa"/>
              <w:bottom w:w="60" w:type="dxa"/>
              <w:right w:w="120" w:type="dxa"/>
            </w:tcMar>
          </w:tcPr>
          <w:p w:rsidR="00CC24B5" w:rsidRPr="00CC24B5" w:rsidRDefault="00CC24B5" w:rsidP="00CC24B5">
            <w:pPr>
              <w:spacing w:before="40" w:after="40" w:line="240" w:lineRule="auto"/>
              <w:rPr>
                <w:rFonts w:ascii="Arial" w:eastAsia="Arial" w:hAnsi="Arial" w:cs="Arial"/>
              </w:rPr>
            </w:pPr>
            <w:r w:rsidRPr="00CC24B5">
              <w:rPr>
                <w:rFonts w:ascii="Calibri" w:eastAsia="Calibri" w:hAnsi="Calibri" w:cs="Calibri"/>
                <w:sz w:val="20"/>
                <w:szCs w:val="20"/>
              </w:rPr>
              <w:t>20-50</w:t>
            </w:r>
          </w:p>
        </w:tc>
        <w:tc>
          <w:tcPr>
            <w:tcW w:w="2340" w:type="dxa"/>
            <w:tcBorders>
              <w:top w:val="single" w:sz="1" w:space="0" w:color="BFBFBF"/>
              <w:left w:val="single" w:sz="1" w:space="0" w:color="BFBFBF"/>
              <w:bottom w:val="single" w:sz="1" w:space="0" w:color="BFBFBF"/>
              <w:right w:val="single" w:sz="1" w:space="0" w:color="BFBFBF"/>
            </w:tcBorders>
            <w:shd w:val="clear" w:color="auto" w:fill="EBF3FB"/>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rPr>
              <w:t>414</w:t>
            </w:r>
          </w:p>
        </w:tc>
        <w:tc>
          <w:tcPr>
            <w:tcW w:w="2340" w:type="dxa"/>
            <w:tcBorders>
              <w:top w:val="single" w:sz="1" w:space="0" w:color="BFBFBF"/>
              <w:left w:val="single" w:sz="1" w:space="0" w:color="BFBFBF"/>
              <w:bottom w:val="single" w:sz="1" w:space="0" w:color="BFBFBF"/>
              <w:right w:val="single" w:sz="1" w:space="0" w:color="BFBFBF"/>
            </w:tcBorders>
            <w:shd w:val="clear" w:color="auto" w:fill="EBF3FB"/>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9,5%</w:t>
            </w:r>
          </w:p>
        </w:tc>
        <w:tc>
          <w:tcPr>
            <w:tcW w:w="2340" w:type="dxa"/>
            <w:tcBorders>
              <w:top w:val="single" w:sz="1" w:space="0" w:color="BFBFBF"/>
              <w:left w:val="single" w:sz="1" w:space="0" w:color="BFBFBF"/>
              <w:bottom w:val="single" w:sz="1" w:space="0" w:color="BFBFBF"/>
              <w:right w:val="single" w:sz="1" w:space="0" w:color="BFBFBF"/>
            </w:tcBorders>
            <w:shd w:val="clear" w:color="auto" w:fill="EBF3FB"/>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Nivel ridicat</w:t>
            </w:r>
          </w:p>
        </w:tc>
      </w:tr>
      <w:tr w:rsidR="00CC24B5" w:rsidRPr="00CC24B5" w:rsidTr="00CC24B5">
        <w:tc>
          <w:tcPr>
            <w:tcW w:w="2340" w:type="dxa"/>
            <w:tcBorders>
              <w:top w:val="single" w:sz="1" w:space="0" w:color="BFBFBF"/>
              <w:left w:val="single" w:sz="1" w:space="0" w:color="BFBFBF"/>
              <w:bottom w:val="single" w:sz="1" w:space="0" w:color="BFBFBF"/>
              <w:right w:val="single" w:sz="1" w:space="0" w:color="BFBFBF"/>
            </w:tcBorders>
            <w:shd w:val="clear" w:color="auto" w:fill="FFFFFF"/>
            <w:tcMar>
              <w:top w:w="60" w:type="dxa"/>
              <w:left w:w="120" w:type="dxa"/>
              <w:bottom w:w="60" w:type="dxa"/>
              <w:right w:w="120" w:type="dxa"/>
            </w:tcMar>
          </w:tcPr>
          <w:p w:rsidR="00CC24B5" w:rsidRPr="00CC24B5" w:rsidRDefault="00CC24B5" w:rsidP="00CC24B5">
            <w:pPr>
              <w:spacing w:before="40" w:after="40" w:line="240" w:lineRule="auto"/>
              <w:rPr>
                <w:rFonts w:ascii="Arial" w:eastAsia="Arial" w:hAnsi="Arial" w:cs="Arial"/>
              </w:rPr>
            </w:pPr>
            <w:r w:rsidRPr="00CC24B5">
              <w:rPr>
                <w:rFonts w:ascii="Calibri" w:eastAsia="Calibri" w:hAnsi="Calibri" w:cs="Calibri"/>
                <w:sz w:val="20"/>
                <w:szCs w:val="20"/>
              </w:rPr>
              <w:t>5-71</w:t>
            </w:r>
          </w:p>
        </w:tc>
        <w:tc>
          <w:tcPr>
            <w:tcW w:w="2340" w:type="dxa"/>
            <w:tcBorders>
              <w:top w:val="single" w:sz="1" w:space="0" w:color="BFBFBF"/>
              <w:left w:val="single" w:sz="1" w:space="0" w:color="BFBFBF"/>
              <w:bottom w:val="single" w:sz="1" w:space="0" w:color="BFBFBF"/>
              <w:right w:val="single" w:sz="1" w:space="0" w:color="BFBFBF"/>
            </w:tcBorders>
            <w:shd w:val="clear" w:color="auto" w:fill="FFFFFF"/>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rPr>
              <w:t>14</w:t>
            </w:r>
          </w:p>
        </w:tc>
        <w:tc>
          <w:tcPr>
            <w:tcW w:w="2340" w:type="dxa"/>
            <w:tcBorders>
              <w:top w:val="single" w:sz="1" w:space="0" w:color="BFBFBF"/>
              <w:left w:val="single" w:sz="1" w:space="0" w:color="BFBFBF"/>
              <w:bottom w:val="single" w:sz="1" w:space="0" w:color="BFBFBF"/>
              <w:right w:val="single" w:sz="1" w:space="0" w:color="BFBFBF"/>
            </w:tcBorders>
            <w:shd w:val="clear" w:color="auto" w:fill="FFFFFF"/>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0,3%</w:t>
            </w:r>
          </w:p>
        </w:tc>
        <w:tc>
          <w:tcPr>
            <w:tcW w:w="2340" w:type="dxa"/>
            <w:tcBorders>
              <w:top w:val="single" w:sz="1" w:space="0" w:color="BFBFBF"/>
              <w:left w:val="single" w:sz="1" w:space="0" w:color="BFBFBF"/>
              <w:bottom w:val="single" w:sz="1" w:space="0" w:color="BFBFBF"/>
              <w:right w:val="single" w:sz="1" w:space="0" w:color="BFBFBF"/>
            </w:tcBorders>
            <w:shd w:val="clear" w:color="auto" w:fill="FFFFFF"/>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rPr>
              <w:t>Nivel ridicat</w:t>
            </w:r>
          </w:p>
        </w:tc>
      </w:tr>
    </w:tbl>
    <w:p w:rsidR="00CC24B5" w:rsidRPr="00CC24B5" w:rsidRDefault="00CC24B5" w:rsidP="00CC24B5">
      <w:pPr>
        <w:keepNext/>
        <w:spacing w:before="160" w:after="80" w:line="240" w:lineRule="auto"/>
        <w:jc w:val="center"/>
        <w:rPr>
          <w:rFonts w:ascii="Arial" w:eastAsia="Arial" w:hAnsi="Arial" w:cs="Arial"/>
        </w:rPr>
      </w:pPr>
      <w:r w:rsidRPr="00CC24B5">
        <w:rPr>
          <w:rFonts w:ascii="Calibri" w:eastAsia="Calibri" w:hAnsi="Calibri" w:cs="Calibri"/>
          <w:noProof/>
        </w:rPr>
        <w:lastRenderedPageBreak/>
        <w:drawing>
          <wp:inline distT="0" distB="0" distL="0" distR="0" wp14:anchorId="398833E6" wp14:editId="393BD420">
            <wp:extent cx="5264728" cy="3172906"/>
            <wp:effectExtent l="0" t="0" r="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279043" cy="3181533"/>
                    </a:xfrm>
                    <a:prstGeom prst="rect">
                      <a:avLst/>
                    </a:prstGeom>
                    <a:noFill/>
                    <a:ln>
                      <a:noFill/>
                    </a:ln>
                  </pic:spPr>
                </pic:pic>
              </a:graphicData>
            </a:graphic>
          </wp:inline>
        </w:drawing>
      </w:r>
    </w:p>
    <w:p w:rsidR="00CC24B5" w:rsidRPr="00CC24B5" w:rsidRDefault="00CC24B5" w:rsidP="00CC24B5">
      <w:pPr>
        <w:spacing w:before="40" w:after="240" w:line="240" w:lineRule="auto"/>
        <w:jc w:val="center"/>
        <w:rPr>
          <w:rFonts w:ascii="Arial" w:eastAsia="Arial" w:hAnsi="Arial" w:cs="Arial"/>
        </w:rPr>
      </w:pPr>
      <w:r w:rsidRPr="00CC24B5">
        <w:rPr>
          <w:rFonts w:ascii="Calibri" w:eastAsia="Calibri" w:hAnsi="Calibri" w:cs="Calibri"/>
          <w:i/>
          <w:iCs/>
          <w:color w:val="595959"/>
          <w:sz w:val="20"/>
          <w:szCs w:val="18"/>
        </w:rPr>
        <w:t>Figura 3.5 – Distributia posturilor pe intervale de intreruperi lungi</w:t>
      </w:r>
    </w:p>
    <w:p w:rsidR="00CC24B5" w:rsidRPr="00CC24B5" w:rsidRDefault="00CC24B5" w:rsidP="00CC24B5">
      <w:pPr>
        <w:spacing w:before="80" w:after="80" w:line="240" w:lineRule="auto"/>
        <w:jc w:val="both"/>
        <w:rPr>
          <w:rFonts w:ascii="Arial" w:eastAsia="Arial" w:hAnsi="Arial" w:cs="Arial"/>
          <w:color w:val="000000"/>
        </w:rPr>
      </w:pPr>
      <w:r w:rsidRPr="00CC24B5">
        <w:rPr>
          <w:rFonts w:ascii="Calibri" w:eastAsia="Calibri" w:hAnsi="Calibri" w:cs="Calibri"/>
          <w:b/>
          <w:bCs/>
          <w:color w:val="000000"/>
        </w:rPr>
        <w:t xml:space="preserve">Concluzie: </w:t>
      </w:r>
      <w:r w:rsidRPr="00CC24B5">
        <w:rPr>
          <w:rFonts w:ascii="Calibri" w:eastAsia="Calibri" w:hAnsi="Calibri" w:cs="Calibri"/>
          <w:color w:val="000000"/>
        </w:rPr>
        <w:t>Cele 1645 posturi cu 9–71 intreruperi necesita investigatii si vor fi analizate</w:t>
      </w:r>
    </w:p>
    <w:p w:rsidR="00CC24B5" w:rsidRPr="00CC24B5" w:rsidRDefault="00CC24B5" w:rsidP="00CC24B5">
      <w:pPr>
        <w:keepNext/>
        <w:spacing w:before="280" w:after="120" w:line="240" w:lineRule="auto"/>
        <w:outlineLvl w:val="1"/>
        <w:rPr>
          <w:rFonts w:ascii="Arial" w:eastAsia="Arial" w:hAnsi="Arial" w:cs="Arial"/>
          <w:b/>
          <w:bCs/>
          <w:color w:val="2E75B6"/>
          <w:sz w:val="28"/>
          <w:szCs w:val="28"/>
        </w:rPr>
      </w:pPr>
      <w:bookmarkStart w:id="6" w:name="_Toc232168942"/>
      <w:r w:rsidRPr="00CC24B5">
        <w:rPr>
          <w:rFonts w:ascii="Calibri" w:eastAsia="Calibri" w:hAnsi="Calibri" w:cs="Calibri"/>
          <w:b/>
          <w:bCs/>
          <w:color w:val="2E75B6"/>
          <w:sz w:val="28"/>
          <w:szCs w:val="28"/>
        </w:rPr>
        <w:t>3.1.6 Intreruperi tranzitorii</w:t>
      </w:r>
      <w:bookmarkEnd w:id="6"/>
    </w:p>
    <w:p w:rsidR="00CC24B5" w:rsidRPr="00CC24B5" w:rsidRDefault="00CC24B5" w:rsidP="00CC24B5">
      <w:pPr>
        <w:spacing w:before="80" w:after="80" w:line="240" w:lineRule="auto"/>
        <w:jc w:val="both"/>
        <w:rPr>
          <w:rFonts w:ascii="Arial" w:eastAsia="Arial" w:hAnsi="Arial" w:cs="Arial"/>
        </w:rPr>
      </w:pPr>
      <w:r w:rsidRPr="00CC24B5">
        <w:rPr>
          <w:rFonts w:ascii="Calibri" w:eastAsia="Calibri" w:hAnsi="Calibri" w:cs="Calibri"/>
          <w:color w:val="000000"/>
        </w:rPr>
        <w:t>Intreruperile tranzitorii sunt evenimentele scurte de tensiune (durata sub 0,5 secunde). Distributia posturilor pe intervalele definite este:</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2340"/>
        <w:gridCol w:w="2340"/>
        <w:gridCol w:w="2340"/>
        <w:gridCol w:w="2340"/>
      </w:tblGrid>
      <w:tr w:rsidR="00CC24B5" w:rsidRPr="00CC24B5" w:rsidTr="00CC24B5">
        <w:trPr>
          <w:tblHeader/>
        </w:trPr>
        <w:tc>
          <w:tcPr>
            <w:tcW w:w="2340" w:type="dxa"/>
            <w:tcBorders>
              <w:top w:val="single" w:sz="1" w:space="0" w:color="BFBFBF"/>
              <w:left w:val="single" w:sz="1" w:space="0" w:color="BFBFBF"/>
              <w:bottom w:val="single" w:sz="1" w:space="0" w:color="BFBFBF"/>
              <w:right w:val="single" w:sz="1" w:space="0" w:color="BFBFBF"/>
            </w:tcBorders>
            <w:shd w:val="clear" w:color="auto" w:fill="2E75B6"/>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b/>
                <w:bCs/>
                <w:color w:val="FFFFFF"/>
                <w:sz w:val="20"/>
                <w:szCs w:val="20"/>
              </w:rPr>
              <w:t>Interval (nr. intreruperi/post)</w:t>
            </w:r>
          </w:p>
        </w:tc>
        <w:tc>
          <w:tcPr>
            <w:tcW w:w="2340" w:type="dxa"/>
            <w:tcBorders>
              <w:top w:val="single" w:sz="1" w:space="0" w:color="BFBFBF"/>
              <w:left w:val="single" w:sz="1" w:space="0" w:color="BFBFBF"/>
              <w:bottom w:val="single" w:sz="1" w:space="0" w:color="BFBFBF"/>
              <w:right w:val="single" w:sz="1" w:space="0" w:color="BFBFBF"/>
            </w:tcBorders>
            <w:shd w:val="clear" w:color="auto" w:fill="2E75B6"/>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b/>
                <w:bCs/>
                <w:color w:val="FFFFFF"/>
                <w:sz w:val="20"/>
                <w:szCs w:val="20"/>
              </w:rPr>
              <w:t>Nr. posturi</w:t>
            </w:r>
          </w:p>
        </w:tc>
        <w:tc>
          <w:tcPr>
            <w:tcW w:w="2340" w:type="dxa"/>
            <w:tcBorders>
              <w:top w:val="single" w:sz="1" w:space="0" w:color="BFBFBF"/>
              <w:left w:val="single" w:sz="1" w:space="0" w:color="BFBFBF"/>
              <w:bottom w:val="single" w:sz="1" w:space="0" w:color="BFBFBF"/>
              <w:right w:val="single" w:sz="1" w:space="0" w:color="BFBFBF"/>
            </w:tcBorders>
            <w:shd w:val="clear" w:color="auto" w:fill="2E75B6"/>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b/>
                <w:bCs/>
                <w:color w:val="FFFFFF"/>
                <w:sz w:val="20"/>
                <w:szCs w:val="20"/>
              </w:rPr>
              <w:t>Pondere</w:t>
            </w:r>
          </w:p>
        </w:tc>
        <w:tc>
          <w:tcPr>
            <w:tcW w:w="2340" w:type="dxa"/>
            <w:tcBorders>
              <w:top w:val="single" w:sz="1" w:space="0" w:color="BFBFBF"/>
              <w:left w:val="single" w:sz="1" w:space="0" w:color="BFBFBF"/>
              <w:bottom w:val="single" w:sz="1" w:space="0" w:color="BFBFBF"/>
              <w:right w:val="single" w:sz="1" w:space="0" w:color="BFBFBF"/>
            </w:tcBorders>
            <w:shd w:val="clear" w:color="auto" w:fill="2E75B6"/>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b/>
                <w:bCs/>
                <w:color w:val="FFFFFF"/>
                <w:sz w:val="20"/>
                <w:szCs w:val="20"/>
              </w:rPr>
              <w:t>Calificare</w:t>
            </w:r>
          </w:p>
        </w:tc>
      </w:tr>
      <w:tr w:rsidR="00CC24B5" w:rsidRPr="00CC24B5" w:rsidTr="00CC24B5">
        <w:tc>
          <w:tcPr>
            <w:tcW w:w="2340" w:type="dxa"/>
            <w:tcBorders>
              <w:top w:val="single" w:sz="1" w:space="0" w:color="BFBFBF"/>
              <w:left w:val="single" w:sz="1" w:space="0" w:color="BFBFBF"/>
              <w:bottom w:val="single" w:sz="1" w:space="0" w:color="BFBFBF"/>
              <w:right w:val="single" w:sz="1" w:space="0" w:color="BFBFBF"/>
            </w:tcBorders>
            <w:shd w:val="clear" w:color="auto" w:fill="EBF3FB"/>
            <w:tcMar>
              <w:top w:w="60" w:type="dxa"/>
              <w:left w:w="120" w:type="dxa"/>
              <w:bottom w:w="60" w:type="dxa"/>
              <w:right w:w="120" w:type="dxa"/>
            </w:tcMar>
          </w:tcPr>
          <w:p w:rsidR="00CC24B5" w:rsidRPr="00CC24B5" w:rsidRDefault="00CC24B5" w:rsidP="00CC24B5">
            <w:pPr>
              <w:spacing w:before="40" w:after="40" w:line="240" w:lineRule="auto"/>
              <w:rPr>
                <w:rFonts w:ascii="Arial" w:eastAsia="Arial" w:hAnsi="Arial" w:cs="Arial"/>
              </w:rPr>
            </w:pPr>
            <w:r w:rsidRPr="00CC24B5">
              <w:rPr>
                <w:rFonts w:ascii="Calibri" w:eastAsia="Calibri" w:hAnsi="Calibri" w:cs="Calibri"/>
                <w:sz w:val="20"/>
                <w:szCs w:val="20"/>
              </w:rPr>
              <w:t>0 – 75</w:t>
            </w:r>
          </w:p>
        </w:tc>
        <w:tc>
          <w:tcPr>
            <w:tcW w:w="2340" w:type="dxa"/>
            <w:tcBorders>
              <w:top w:val="single" w:sz="1" w:space="0" w:color="BFBFBF"/>
              <w:left w:val="single" w:sz="1" w:space="0" w:color="BFBFBF"/>
              <w:bottom w:val="single" w:sz="1" w:space="0" w:color="BFBFBF"/>
              <w:right w:val="single" w:sz="1" w:space="0" w:color="BFBFBF"/>
            </w:tcBorders>
            <w:shd w:val="clear" w:color="auto" w:fill="EBF3FB"/>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4.231</w:t>
            </w:r>
          </w:p>
        </w:tc>
        <w:tc>
          <w:tcPr>
            <w:tcW w:w="2340" w:type="dxa"/>
            <w:tcBorders>
              <w:top w:val="single" w:sz="1" w:space="0" w:color="BFBFBF"/>
              <w:left w:val="single" w:sz="1" w:space="0" w:color="BFBFBF"/>
              <w:bottom w:val="single" w:sz="1" w:space="0" w:color="BFBFBF"/>
              <w:right w:val="single" w:sz="1" w:space="0" w:color="BFBFBF"/>
            </w:tcBorders>
            <w:shd w:val="clear" w:color="auto" w:fill="EBF3FB"/>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98,0%</w:t>
            </w:r>
          </w:p>
        </w:tc>
        <w:tc>
          <w:tcPr>
            <w:tcW w:w="2340" w:type="dxa"/>
            <w:tcBorders>
              <w:top w:val="single" w:sz="1" w:space="0" w:color="BFBFBF"/>
              <w:left w:val="single" w:sz="1" w:space="0" w:color="BFBFBF"/>
              <w:bottom w:val="single" w:sz="1" w:space="0" w:color="BFBFBF"/>
              <w:right w:val="single" w:sz="1" w:space="0" w:color="BFBFBF"/>
            </w:tcBorders>
            <w:shd w:val="clear" w:color="auto" w:fill="EBF3FB"/>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Nivel normal</w:t>
            </w:r>
          </w:p>
        </w:tc>
      </w:tr>
      <w:tr w:rsidR="00CC24B5" w:rsidRPr="00CC24B5" w:rsidTr="00CC24B5">
        <w:tc>
          <w:tcPr>
            <w:tcW w:w="2340" w:type="dxa"/>
            <w:tcBorders>
              <w:top w:val="single" w:sz="1" w:space="0" w:color="BFBFBF"/>
              <w:left w:val="single" w:sz="1" w:space="0" w:color="BFBFBF"/>
              <w:bottom w:val="single" w:sz="1" w:space="0" w:color="BFBFBF"/>
              <w:right w:val="single" w:sz="1" w:space="0" w:color="BFBFBF"/>
            </w:tcBorders>
            <w:shd w:val="clear" w:color="auto" w:fill="FFFFFF"/>
            <w:tcMar>
              <w:top w:w="60" w:type="dxa"/>
              <w:left w:w="120" w:type="dxa"/>
              <w:bottom w:w="60" w:type="dxa"/>
              <w:right w:w="120" w:type="dxa"/>
            </w:tcMar>
          </w:tcPr>
          <w:p w:rsidR="00CC24B5" w:rsidRPr="00CC24B5" w:rsidRDefault="00CC24B5" w:rsidP="00CC24B5">
            <w:pPr>
              <w:spacing w:before="40" w:after="40" w:line="240" w:lineRule="auto"/>
              <w:rPr>
                <w:rFonts w:ascii="Arial" w:eastAsia="Arial" w:hAnsi="Arial" w:cs="Arial"/>
              </w:rPr>
            </w:pPr>
            <w:r w:rsidRPr="00CC24B5">
              <w:rPr>
                <w:rFonts w:ascii="Calibri" w:eastAsia="Calibri" w:hAnsi="Calibri" w:cs="Calibri"/>
                <w:sz w:val="20"/>
                <w:szCs w:val="20"/>
              </w:rPr>
              <w:t>75 – 150</w:t>
            </w:r>
          </w:p>
        </w:tc>
        <w:tc>
          <w:tcPr>
            <w:tcW w:w="2340" w:type="dxa"/>
            <w:tcBorders>
              <w:top w:val="single" w:sz="1" w:space="0" w:color="BFBFBF"/>
              <w:left w:val="single" w:sz="1" w:space="0" w:color="BFBFBF"/>
              <w:bottom w:val="single" w:sz="1" w:space="0" w:color="BFBFBF"/>
              <w:right w:val="single" w:sz="1" w:space="0" w:color="BFBFBF"/>
            </w:tcBorders>
            <w:shd w:val="clear" w:color="auto" w:fill="FFFFFF"/>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74</w:t>
            </w:r>
          </w:p>
        </w:tc>
        <w:tc>
          <w:tcPr>
            <w:tcW w:w="2340" w:type="dxa"/>
            <w:tcBorders>
              <w:top w:val="single" w:sz="1" w:space="0" w:color="BFBFBF"/>
              <w:left w:val="single" w:sz="1" w:space="0" w:color="BFBFBF"/>
              <w:bottom w:val="single" w:sz="1" w:space="0" w:color="BFBFBF"/>
              <w:right w:val="single" w:sz="1" w:space="0" w:color="BFBFBF"/>
            </w:tcBorders>
            <w:shd w:val="clear" w:color="auto" w:fill="FFFFFF"/>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1,7%</w:t>
            </w:r>
          </w:p>
        </w:tc>
        <w:tc>
          <w:tcPr>
            <w:tcW w:w="2340" w:type="dxa"/>
            <w:tcBorders>
              <w:top w:val="single" w:sz="1" w:space="0" w:color="BFBFBF"/>
              <w:left w:val="single" w:sz="1" w:space="0" w:color="BFBFBF"/>
              <w:bottom w:val="single" w:sz="1" w:space="0" w:color="BFBFBF"/>
              <w:right w:val="single" w:sz="1" w:space="0" w:color="BFBFBF"/>
            </w:tcBorders>
            <w:shd w:val="clear" w:color="auto" w:fill="FFFFFF"/>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Nivel moderat</w:t>
            </w:r>
          </w:p>
        </w:tc>
      </w:tr>
      <w:tr w:rsidR="00CC24B5" w:rsidRPr="00CC24B5" w:rsidTr="00CC24B5">
        <w:tc>
          <w:tcPr>
            <w:tcW w:w="2340" w:type="dxa"/>
            <w:tcBorders>
              <w:top w:val="single" w:sz="1" w:space="0" w:color="BFBFBF"/>
              <w:left w:val="single" w:sz="1" w:space="0" w:color="BFBFBF"/>
              <w:bottom w:val="single" w:sz="1" w:space="0" w:color="BFBFBF"/>
              <w:right w:val="single" w:sz="1" w:space="0" w:color="BFBFBF"/>
            </w:tcBorders>
            <w:shd w:val="clear" w:color="auto" w:fill="EBF3FB"/>
            <w:tcMar>
              <w:top w:w="60" w:type="dxa"/>
              <w:left w:w="120" w:type="dxa"/>
              <w:bottom w:w="60" w:type="dxa"/>
              <w:right w:w="120" w:type="dxa"/>
            </w:tcMar>
          </w:tcPr>
          <w:p w:rsidR="00CC24B5" w:rsidRPr="00CC24B5" w:rsidRDefault="00CC24B5" w:rsidP="00CC24B5">
            <w:pPr>
              <w:spacing w:before="40" w:after="40" w:line="240" w:lineRule="auto"/>
              <w:rPr>
                <w:rFonts w:ascii="Arial" w:eastAsia="Arial" w:hAnsi="Arial" w:cs="Arial"/>
              </w:rPr>
            </w:pPr>
            <w:r w:rsidRPr="00CC24B5">
              <w:rPr>
                <w:rFonts w:ascii="Calibri" w:eastAsia="Calibri" w:hAnsi="Calibri" w:cs="Calibri"/>
                <w:sz w:val="20"/>
                <w:szCs w:val="20"/>
              </w:rPr>
              <w:t>150 – 225</w:t>
            </w:r>
          </w:p>
        </w:tc>
        <w:tc>
          <w:tcPr>
            <w:tcW w:w="2340" w:type="dxa"/>
            <w:tcBorders>
              <w:top w:val="single" w:sz="1" w:space="0" w:color="BFBFBF"/>
              <w:left w:val="single" w:sz="1" w:space="0" w:color="BFBFBF"/>
              <w:bottom w:val="single" w:sz="1" w:space="0" w:color="BFBFBF"/>
              <w:right w:val="single" w:sz="1" w:space="0" w:color="BFBFBF"/>
            </w:tcBorders>
            <w:shd w:val="clear" w:color="auto" w:fill="EBF3FB"/>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5</w:t>
            </w:r>
          </w:p>
        </w:tc>
        <w:tc>
          <w:tcPr>
            <w:tcW w:w="2340" w:type="dxa"/>
            <w:tcBorders>
              <w:top w:val="single" w:sz="1" w:space="0" w:color="BFBFBF"/>
              <w:left w:val="single" w:sz="1" w:space="0" w:color="BFBFBF"/>
              <w:bottom w:val="single" w:sz="1" w:space="0" w:color="BFBFBF"/>
              <w:right w:val="single" w:sz="1" w:space="0" w:color="BFBFBF"/>
            </w:tcBorders>
            <w:shd w:val="clear" w:color="auto" w:fill="EBF3FB"/>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0,1%</w:t>
            </w:r>
          </w:p>
        </w:tc>
        <w:tc>
          <w:tcPr>
            <w:tcW w:w="2340" w:type="dxa"/>
            <w:tcBorders>
              <w:top w:val="single" w:sz="1" w:space="0" w:color="BFBFBF"/>
              <w:left w:val="single" w:sz="1" w:space="0" w:color="BFBFBF"/>
              <w:bottom w:val="single" w:sz="1" w:space="0" w:color="BFBFBF"/>
              <w:right w:val="single" w:sz="1" w:space="0" w:color="BFBFBF"/>
            </w:tcBorders>
            <w:shd w:val="clear" w:color="auto" w:fill="EBF3FB"/>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Nivel ridicat</w:t>
            </w:r>
          </w:p>
        </w:tc>
      </w:tr>
      <w:tr w:rsidR="00CC24B5" w:rsidRPr="00CC24B5" w:rsidTr="00CC24B5">
        <w:tc>
          <w:tcPr>
            <w:tcW w:w="2340" w:type="dxa"/>
            <w:tcBorders>
              <w:top w:val="single" w:sz="1" w:space="0" w:color="BFBFBF"/>
              <w:left w:val="single" w:sz="1" w:space="0" w:color="BFBFBF"/>
              <w:bottom w:val="single" w:sz="1" w:space="0" w:color="BFBFBF"/>
              <w:right w:val="single" w:sz="1" w:space="0" w:color="BFBFBF"/>
            </w:tcBorders>
            <w:shd w:val="clear" w:color="auto" w:fill="FFFFFF"/>
            <w:tcMar>
              <w:top w:w="60" w:type="dxa"/>
              <w:left w:w="120" w:type="dxa"/>
              <w:bottom w:w="60" w:type="dxa"/>
              <w:right w:w="120" w:type="dxa"/>
            </w:tcMar>
          </w:tcPr>
          <w:p w:rsidR="00CC24B5" w:rsidRPr="00CC24B5" w:rsidRDefault="00CC24B5" w:rsidP="00CC24B5">
            <w:pPr>
              <w:spacing w:before="40" w:after="40" w:line="240" w:lineRule="auto"/>
              <w:rPr>
                <w:rFonts w:ascii="Arial" w:eastAsia="Arial" w:hAnsi="Arial" w:cs="Arial"/>
              </w:rPr>
            </w:pPr>
            <w:r w:rsidRPr="00CC24B5">
              <w:rPr>
                <w:rFonts w:ascii="Calibri" w:eastAsia="Calibri" w:hAnsi="Calibri" w:cs="Calibri"/>
                <w:sz w:val="20"/>
                <w:szCs w:val="20"/>
              </w:rPr>
              <w:t>225 – 321</w:t>
            </w:r>
          </w:p>
        </w:tc>
        <w:tc>
          <w:tcPr>
            <w:tcW w:w="2340" w:type="dxa"/>
            <w:tcBorders>
              <w:top w:val="single" w:sz="1" w:space="0" w:color="BFBFBF"/>
              <w:left w:val="single" w:sz="1" w:space="0" w:color="BFBFBF"/>
              <w:bottom w:val="single" w:sz="1" w:space="0" w:color="BFBFBF"/>
              <w:right w:val="single" w:sz="1" w:space="0" w:color="BFBFBF"/>
            </w:tcBorders>
            <w:shd w:val="clear" w:color="auto" w:fill="FFFFFF"/>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10</w:t>
            </w:r>
          </w:p>
        </w:tc>
        <w:tc>
          <w:tcPr>
            <w:tcW w:w="2340" w:type="dxa"/>
            <w:tcBorders>
              <w:top w:val="single" w:sz="1" w:space="0" w:color="BFBFBF"/>
              <w:left w:val="single" w:sz="1" w:space="0" w:color="BFBFBF"/>
              <w:bottom w:val="single" w:sz="1" w:space="0" w:color="BFBFBF"/>
              <w:right w:val="single" w:sz="1" w:space="0" w:color="BFBFBF"/>
            </w:tcBorders>
            <w:shd w:val="clear" w:color="auto" w:fill="FFFFFF"/>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0,2%</w:t>
            </w:r>
          </w:p>
        </w:tc>
        <w:tc>
          <w:tcPr>
            <w:tcW w:w="2340" w:type="dxa"/>
            <w:tcBorders>
              <w:top w:val="single" w:sz="1" w:space="0" w:color="BFBFBF"/>
              <w:left w:val="single" w:sz="1" w:space="0" w:color="BFBFBF"/>
              <w:bottom w:val="single" w:sz="1" w:space="0" w:color="BFBFBF"/>
              <w:right w:val="single" w:sz="1" w:space="0" w:color="BFBFBF"/>
            </w:tcBorders>
            <w:shd w:val="clear" w:color="auto" w:fill="FFFFFF"/>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Nivel critic</w:t>
            </w:r>
          </w:p>
        </w:tc>
      </w:tr>
    </w:tbl>
    <w:p w:rsidR="00CC24B5" w:rsidRPr="00CC24B5" w:rsidRDefault="00CC24B5" w:rsidP="00CC24B5">
      <w:pPr>
        <w:keepNext/>
        <w:spacing w:before="160" w:after="80" w:line="240" w:lineRule="auto"/>
        <w:jc w:val="center"/>
        <w:rPr>
          <w:rFonts w:ascii="Arial" w:eastAsia="Arial" w:hAnsi="Arial" w:cs="Arial"/>
        </w:rPr>
      </w:pPr>
      <w:r w:rsidRPr="00CC24B5">
        <w:rPr>
          <w:rFonts w:ascii="Calibri" w:eastAsia="Calibri" w:hAnsi="Calibri" w:cs="Calibri"/>
          <w:noProof/>
        </w:rPr>
        <w:lastRenderedPageBreak/>
        <w:drawing>
          <wp:inline distT="0" distB="0" distL="0" distR="0" wp14:anchorId="474593BC" wp14:editId="53417168">
            <wp:extent cx="4191000" cy="2532063"/>
            <wp:effectExtent l="0" t="0" r="0" b="1905"/>
            <wp:docPr id="1329378357" name="Picture 1329378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5"/>
                    <a:srcRect/>
                    <a:stretch>
                      <a:fillRect/>
                    </a:stretch>
                  </pic:blipFill>
                  <pic:spPr bwMode="auto">
                    <a:xfrm>
                      <a:off x="0" y="0"/>
                      <a:ext cx="4198891" cy="2536831"/>
                    </a:xfrm>
                    <a:prstGeom prst="rect">
                      <a:avLst/>
                    </a:prstGeom>
                  </pic:spPr>
                </pic:pic>
              </a:graphicData>
            </a:graphic>
          </wp:inline>
        </w:drawing>
      </w:r>
    </w:p>
    <w:p w:rsidR="00CC24B5" w:rsidRPr="00CC24B5" w:rsidRDefault="00CC24B5" w:rsidP="00CC24B5">
      <w:pPr>
        <w:spacing w:before="40" w:after="240" w:line="240" w:lineRule="auto"/>
        <w:jc w:val="center"/>
        <w:rPr>
          <w:rFonts w:ascii="Arial" w:eastAsia="Arial" w:hAnsi="Arial" w:cs="Arial"/>
        </w:rPr>
      </w:pPr>
      <w:r w:rsidRPr="00CC24B5">
        <w:rPr>
          <w:rFonts w:ascii="Calibri" w:eastAsia="Calibri" w:hAnsi="Calibri" w:cs="Calibri"/>
          <w:i/>
          <w:iCs/>
          <w:color w:val="595959"/>
          <w:sz w:val="20"/>
          <w:szCs w:val="18"/>
        </w:rPr>
        <w:t>Figura 3.6 – Distributia posturilor pe intervale de intreruperi tranzitorii</w:t>
      </w:r>
    </w:p>
    <w:p w:rsidR="00CC24B5" w:rsidRPr="00CC24B5" w:rsidRDefault="00CC24B5" w:rsidP="00CC24B5">
      <w:pPr>
        <w:spacing w:before="80" w:after="80" w:line="240" w:lineRule="auto"/>
        <w:jc w:val="both"/>
        <w:rPr>
          <w:rFonts w:ascii="Arial" w:eastAsia="Arial" w:hAnsi="Arial" w:cs="Arial"/>
        </w:rPr>
      </w:pPr>
      <w:r w:rsidRPr="00CC24B5">
        <w:rPr>
          <w:rFonts w:ascii="Calibri" w:eastAsia="Calibri" w:hAnsi="Calibri" w:cs="Calibri"/>
          <w:b/>
          <w:bCs/>
          <w:color w:val="000000"/>
        </w:rPr>
        <w:t xml:space="preserve">Concluzie: </w:t>
      </w:r>
      <w:r w:rsidRPr="00CC24B5">
        <w:rPr>
          <w:rFonts w:ascii="Calibri" w:eastAsia="Calibri" w:hAnsi="Calibri" w:cs="Calibri"/>
          <w:color w:val="000000"/>
        </w:rPr>
        <w:t xml:space="preserve">98% din posturi se incadreaza sub 75 de intreruperi tranzitorii. </w:t>
      </w:r>
      <w:r w:rsidRPr="00CC24B5">
        <w:rPr>
          <w:rFonts w:ascii="Calibri" w:eastAsia="Calibri" w:hAnsi="Calibri" w:cs="Calibri"/>
        </w:rPr>
        <w:t xml:space="preserve">Cele 10 posturi </w:t>
      </w:r>
      <w:r w:rsidRPr="00CC24B5">
        <w:rPr>
          <w:rFonts w:ascii="Calibri" w:eastAsia="Calibri" w:hAnsi="Calibri" w:cs="Calibri"/>
          <w:color w:val="000000"/>
        </w:rPr>
        <w:t>cu 225–321 de intreruperi tranzitorii reprezinta cazuri izolate care necesita analiza individuala (posibil cauzate de manevre frecvente sau surse de perturbatii locale).</w:t>
      </w:r>
    </w:p>
    <w:p w:rsidR="00CC24B5" w:rsidRPr="00CC24B5" w:rsidRDefault="00CC24B5" w:rsidP="00CC24B5">
      <w:pPr>
        <w:spacing w:after="120" w:line="240" w:lineRule="auto"/>
        <w:jc w:val="both"/>
        <w:rPr>
          <w:rFonts w:ascii="Arial" w:eastAsia="Arial" w:hAnsi="Arial" w:cs="Arial"/>
        </w:rPr>
      </w:pPr>
      <w:r w:rsidRPr="00CC24B5">
        <w:rPr>
          <w:rFonts w:ascii="Calibri" w:eastAsia="Calibri" w:hAnsi="Calibri" w:cs="Calibri"/>
          <w:b/>
          <w:color w:val="2E75B6"/>
          <w:sz w:val="28"/>
        </w:rPr>
        <w:t>3.1.7 Frecventa</w:t>
      </w:r>
    </w:p>
    <w:p w:rsidR="00CC24B5" w:rsidRPr="00CC24B5" w:rsidRDefault="00CC24B5" w:rsidP="00CC24B5">
      <w:pPr>
        <w:spacing w:before="80" w:after="80" w:line="240" w:lineRule="auto"/>
        <w:jc w:val="both"/>
        <w:rPr>
          <w:rFonts w:ascii="Arial" w:eastAsia="Arial" w:hAnsi="Arial" w:cs="Arial"/>
        </w:rPr>
      </w:pPr>
      <w:r w:rsidRPr="00CC24B5">
        <w:rPr>
          <w:rFonts w:ascii="Calibri" w:eastAsia="Calibri" w:hAnsi="Calibri" w:cs="Calibri"/>
          <w:color w:val="000000"/>
        </w:rPr>
        <w:t xml:space="preserve">Intervalul normal de variatie acceptat este </w:t>
      </w:r>
      <w:r w:rsidRPr="00CC24B5">
        <w:rPr>
          <w:rFonts w:ascii="Calibri" w:eastAsia="Calibri" w:hAnsi="Calibri" w:cs="Calibri"/>
          <w:b/>
          <w:bCs/>
          <w:color w:val="000000"/>
        </w:rPr>
        <w:t>49,5 – 50,5 Hz</w:t>
      </w:r>
      <w:r w:rsidRPr="00CC24B5">
        <w:rPr>
          <w:rFonts w:ascii="Calibri" w:eastAsia="Calibri" w:hAnsi="Calibri" w:cs="Calibri"/>
          <w:color w:val="000000"/>
        </w:rPr>
        <w:t xml:space="preserve"> pentru 99,5% din intervalele de </w:t>
      </w:r>
      <w:proofErr w:type="gramStart"/>
      <w:r w:rsidRPr="00CC24B5">
        <w:rPr>
          <w:rFonts w:ascii="Calibri" w:eastAsia="Calibri" w:hAnsi="Calibri" w:cs="Calibri"/>
          <w:color w:val="000000"/>
        </w:rPr>
        <w:t>10 minute</w:t>
      </w:r>
      <w:proofErr w:type="gramEnd"/>
      <w:r w:rsidRPr="00CC24B5">
        <w:rPr>
          <w:rFonts w:ascii="Calibri" w:eastAsia="Calibri" w:hAnsi="Calibri" w:cs="Calibri"/>
          <w:color w:val="000000"/>
        </w:rPr>
        <w:t xml:space="preserve"> ale fiecarui an, si </w:t>
      </w:r>
      <w:r w:rsidRPr="00CC24B5">
        <w:rPr>
          <w:rFonts w:ascii="Calibri" w:eastAsia="Calibri" w:hAnsi="Calibri" w:cs="Calibri"/>
          <w:b/>
          <w:bCs/>
          <w:color w:val="000000"/>
        </w:rPr>
        <w:t>47 – 52 Hz</w:t>
      </w:r>
      <w:r w:rsidRPr="00CC24B5">
        <w:rPr>
          <w:rFonts w:ascii="Calibri" w:eastAsia="Calibri" w:hAnsi="Calibri" w:cs="Calibri"/>
          <w:color w:val="000000"/>
        </w:rPr>
        <w:t xml:space="preserve"> pentru 100% din timp (sisteme interconectate).</w:t>
      </w:r>
    </w:p>
    <w:p w:rsidR="00CC24B5" w:rsidRPr="00CC24B5" w:rsidRDefault="00CC24B5" w:rsidP="00CC24B5">
      <w:pPr>
        <w:spacing w:before="80" w:after="120" w:line="240" w:lineRule="auto"/>
        <w:jc w:val="both"/>
        <w:rPr>
          <w:rFonts w:ascii="Arial" w:eastAsia="Arial" w:hAnsi="Arial" w:cs="Arial"/>
        </w:rPr>
      </w:pPr>
      <w:r w:rsidRPr="00CC24B5">
        <w:rPr>
          <w:rFonts w:ascii="Calibri" w:eastAsia="Calibri" w:hAnsi="Calibri" w:cs="Calibri"/>
        </w:rPr>
        <w:t>Nota:au fost analizate analizoarele MEg45 care monitorizeaza si frecventa.</w:t>
      </w:r>
    </w:p>
    <w:p w:rsidR="00CC24B5" w:rsidRPr="00CC24B5" w:rsidRDefault="00CC24B5" w:rsidP="00CC24B5">
      <w:pPr>
        <w:spacing w:before="80" w:after="80" w:line="240" w:lineRule="auto"/>
        <w:jc w:val="both"/>
        <w:rPr>
          <w:rFonts w:ascii="Arial" w:eastAsia="Arial" w:hAnsi="Arial" w:cs="Arial"/>
        </w:rPr>
      </w:pPr>
      <w:r w:rsidRPr="00CC24B5">
        <w:rPr>
          <w:rFonts w:ascii="Calibri" w:eastAsia="Calibri" w:hAnsi="Calibri" w:cs="Calibri"/>
          <w:color w:val="000000"/>
        </w:rPr>
        <w:t>Din totalul de 3.964 posturi cu date valide de frecventa:</w:t>
      </w:r>
    </w:p>
    <w:p w:rsidR="00CC24B5" w:rsidRPr="00CC24B5" w:rsidRDefault="00CC24B5" w:rsidP="00CC24B5">
      <w:pPr>
        <w:numPr>
          <w:ilvl w:val="0"/>
          <w:numId w:val="7"/>
        </w:numPr>
        <w:spacing w:after="0" w:line="240" w:lineRule="auto"/>
        <w:jc w:val="both"/>
        <w:rPr>
          <w:rFonts w:ascii="Arial" w:eastAsia="Arial" w:hAnsi="Arial" w:cs="Arial"/>
        </w:rPr>
      </w:pPr>
      <w:r w:rsidRPr="00CC24B5">
        <w:rPr>
          <w:rFonts w:ascii="Calibri" w:eastAsia="Calibri" w:hAnsi="Calibri" w:cs="Calibri"/>
        </w:rPr>
        <w:t>Toate posturile (100%) prezinta frecventa medie in intervalul normal [49,5–50,5 Hz]</w:t>
      </w:r>
    </w:p>
    <w:p w:rsidR="00CC24B5" w:rsidRPr="00CC24B5" w:rsidRDefault="00CC24B5" w:rsidP="00CC24B5">
      <w:pPr>
        <w:numPr>
          <w:ilvl w:val="0"/>
          <w:numId w:val="7"/>
        </w:numPr>
        <w:spacing w:after="0" w:line="240" w:lineRule="auto"/>
        <w:jc w:val="both"/>
        <w:rPr>
          <w:rFonts w:ascii="Arial" w:eastAsia="Arial" w:hAnsi="Arial" w:cs="Arial"/>
        </w:rPr>
      </w:pPr>
      <w:r w:rsidRPr="00CC24B5">
        <w:rPr>
          <w:rFonts w:ascii="Calibri" w:eastAsia="Calibri" w:hAnsi="Calibri" w:cs="Calibri"/>
        </w:rPr>
        <w:t>Frecventa medie la nivel de sistem: 49,99 Hz (extrem de aproape de valoarea nominala)</w:t>
      </w:r>
    </w:p>
    <w:p w:rsidR="00CC24B5" w:rsidRPr="00CC24B5" w:rsidRDefault="00CC24B5" w:rsidP="00CC24B5">
      <w:pPr>
        <w:numPr>
          <w:ilvl w:val="0"/>
          <w:numId w:val="7"/>
        </w:numPr>
        <w:spacing w:after="0" w:line="240" w:lineRule="auto"/>
        <w:jc w:val="both"/>
        <w:rPr>
          <w:rFonts w:ascii="Arial" w:eastAsia="Arial" w:hAnsi="Arial" w:cs="Arial"/>
        </w:rPr>
      </w:pPr>
      <w:r w:rsidRPr="00CC24B5">
        <w:rPr>
          <w:rFonts w:ascii="Calibri" w:eastAsia="Calibri" w:hAnsi="Calibri" w:cs="Calibri"/>
        </w:rPr>
        <w:t>Valori extreme inregistrate: minimum 49,96 Hz, maximum 50,03 Hz</w:t>
      </w:r>
    </w:p>
    <w:p w:rsidR="00CC24B5" w:rsidRPr="00CC24B5" w:rsidRDefault="00CC24B5" w:rsidP="00CC24B5">
      <w:pPr>
        <w:keepNext/>
        <w:spacing w:before="160" w:after="80" w:line="240" w:lineRule="auto"/>
        <w:jc w:val="center"/>
        <w:rPr>
          <w:rFonts w:ascii="Arial" w:eastAsia="Arial" w:hAnsi="Arial" w:cs="Arial"/>
        </w:rPr>
      </w:pPr>
      <w:r w:rsidRPr="00CC24B5">
        <w:rPr>
          <w:rFonts w:ascii="Calibri" w:eastAsia="Calibri" w:hAnsi="Calibri" w:cs="Calibri"/>
          <w:noProof/>
        </w:rPr>
        <w:lastRenderedPageBreak/>
        <w:drawing>
          <wp:inline distT="0" distB="0" distL="0" distR="0" wp14:anchorId="10A88205" wp14:editId="2B90A820">
            <wp:extent cx="4183380" cy="3049329"/>
            <wp:effectExtent l="0" t="0" r="762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195834" cy="3058407"/>
                    </a:xfrm>
                    <a:prstGeom prst="rect">
                      <a:avLst/>
                    </a:prstGeom>
                    <a:noFill/>
                    <a:ln>
                      <a:noFill/>
                    </a:ln>
                  </pic:spPr>
                </pic:pic>
              </a:graphicData>
            </a:graphic>
          </wp:inline>
        </w:drawing>
      </w:r>
    </w:p>
    <w:p w:rsidR="00CC24B5" w:rsidRPr="00CC24B5" w:rsidRDefault="00CC24B5" w:rsidP="00CC24B5">
      <w:pPr>
        <w:spacing w:before="120" w:after="120" w:line="240" w:lineRule="auto"/>
        <w:jc w:val="center"/>
        <w:rPr>
          <w:rFonts w:ascii="Arial" w:eastAsia="Arial" w:hAnsi="Arial" w:cs="Arial"/>
        </w:rPr>
      </w:pPr>
    </w:p>
    <w:p w:rsidR="00CC24B5" w:rsidRPr="00CC24B5" w:rsidRDefault="00CC24B5" w:rsidP="00CC24B5">
      <w:pPr>
        <w:spacing w:before="40" w:after="240" w:line="240" w:lineRule="auto"/>
        <w:jc w:val="center"/>
        <w:rPr>
          <w:rFonts w:ascii="Arial" w:eastAsia="Arial" w:hAnsi="Arial" w:cs="Arial"/>
        </w:rPr>
      </w:pPr>
      <w:r w:rsidRPr="00CC24B5">
        <w:rPr>
          <w:rFonts w:ascii="Calibri" w:eastAsia="Calibri" w:hAnsi="Calibri" w:cs="Calibri"/>
          <w:i/>
          <w:iCs/>
          <w:color w:val="595959"/>
          <w:sz w:val="20"/>
          <w:szCs w:val="18"/>
        </w:rPr>
        <w:t xml:space="preserve">Figura 3.7 – Conformitatea frecventei </w:t>
      </w:r>
    </w:p>
    <w:p w:rsidR="00CC24B5" w:rsidRPr="00CC24B5" w:rsidRDefault="00CC24B5" w:rsidP="00CC24B5">
      <w:pPr>
        <w:spacing w:before="80" w:after="80" w:line="240" w:lineRule="auto"/>
        <w:jc w:val="both"/>
        <w:rPr>
          <w:rFonts w:ascii="Arial" w:eastAsia="Arial" w:hAnsi="Arial" w:cs="Arial"/>
        </w:rPr>
      </w:pPr>
      <w:r w:rsidRPr="00CC24B5">
        <w:rPr>
          <w:rFonts w:ascii="Calibri" w:eastAsia="Calibri" w:hAnsi="Calibri" w:cs="Calibri"/>
          <w:b/>
          <w:bCs/>
          <w:color w:val="000000"/>
        </w:rPr>
        <w:t xml:space="preserve">Concluzie: </w:t>
      </w:r>
      <w:r w:rsidRPr="00CC24B5">
        <w:rPr>
          <w:rFonts w:ascii="Calibri" w:eastAsia="Calibri" w:hAnsi="Calibri" w:cs="Calibri"/>
          <w:color w:val="000000"/>
        </w:rPr>
        <w:t xml:space="preserve">Parametrul </w:t>
      </w:r>
      <w:r w:rsidRPr="00CC24B5">
        <w:rPr>
          <w:rFonts w:ascii="Calibri" w:eastAsia="Calibri" w:hAnsi="Calibri" w:cs="Calibri"/>
        </w:rPr>
        <w:t>frecventa se incadreaza in totalitate in limitele impuse de standard. Nu exista niciun post cu abateri de frecventa. Aceasta reflecta stabilitatea sistemului energetic national interconectat.</w:t>
      </w:r>
    </w:p>
    <w:p w:rsidR="00CC24B5" w:rsidRPr="00CC24B5" w:rsidRDefault="00CC24B5" w:rsidP="00CC24B5">
      <w:pPr>
        <w:spacing w:after="120" w:line="240" w:lineRule="auto"/>
        <w:jc w:val="both"/>
        <w:rPr>
          <w:rFonts w:ascii="Arial" w:eastAsia="Arial" w:hAnsi="Arial" w:cs="Arial"/>
        </w:rPr>
      </w:pPr>
      <w:r w:rsidRPr="00CC24B5">
        <w:rPr>
          <w:rFonts w:ascii="Calibri" w:eastAsia="Calibri" w:hAnsi="Calibri" w:cs="Calibri"/>
        </w:rPr>
        <w:br w:type="page"/>
      </w:r>
    </w:p>
    <w:p w:rsidR="00CC24B5" w:rsidRPr="00CC24B5" w:rsidRDefault="00CC24B5" w:rsidP="00CC24B5">
      <w:pPr>
        <w:keepNext/>
        <w:spacing w:before="280" w:after="120" w:line="240" w:lineRule="auto"/>
        <w:outlineLvl w:val="1"/>
        <w:rPr>
          <w:rFonts w:ascii="Arial" w:eastAsia="Arial" w:hAnsi="Arial" w:cs="Arial"/>
          <w:b/>
          <w:bCs/>
          <w:color w:val="2E75B6"/>
          <w:sz w:val="28"/>
          <w:szCs w:val="28"/>
        </w:rPr>
      </w:pPr>
      <w:bookmarkStart w:id="7" w:name="_Toc232168943"/>
      <w:r w:rsidRPr="00CC24B5">
        <w:rPr>
          <w:rFonts w:ascii="Calibri" w:eastAsia="Calibri" w:hAnsi="Calibri" w:cs="Calibri"/>
          <w:b/>
          <w:bCs/>
          <w:color w:val="2E75B6"/>
          <w:sz w:val="28"/>
          <w:szCs w:val="28"/>
        </w:rPr>
        <w:lastRenderedPageBreak/>
        <w:t>3.1.8 Flicker</w:t>
      </w:r>
      <w:bookmarkEnd w:id="7"/>
    </w:p>
    <w:p w:rsidR="00CC24B5" w:rsidRPr="00CC24B5" w:rsidRDefault="00CC24B5" w:rsidP="00CC24B5">
      <w:pPr>
        <w:spacing w:beforeAutospacing="1" w:after="120" w:afterAutospacing="1" w:line="240" w:lineRule="auto"/>
        <w:jc w:val="both"/>
        <w:rPr>
          <w:rFonts w:ascii="Times New Roman" w:eastAsia="Times New Roman" w:hAnsi="Times New Roman" w:cs="Times New Roman"/>
          <w:sz w:val="24"/>
          <w:szCs w:val="24"/>
        </w:rPr>
      </w:pPr>
      <w:r w:rsidRPr="00CC24B5">
        <w:rPr>
          <w:rFonts w:ascii="Calibri" w:eastAsia="Calibri" w:hAnsi="Calibri" w:cs="Calibri"/>
          <w:szCs w:val="24"/>
        </w:rPr>
        <w:t xml:space="preserve">Flicker-ul (palpaitul luminii) este un indicator al fluctuatiilor rapide ale tensiunii, cuantificat prin numarul de saptamani in care valorile normale de flicker pe termen lung au fost </w:t>
      </w:r>
      <w:proofErr w:type="gramStart"/>
      <w:r w:rsidRPr="00CC24B5">
        <w:rPr>
          <w:rFonts w:ascii="Calibri" w:eastAsia="Calibri" w:hAnsi="Calibri" w:cs="Calibri"/>
          <w:szCs w:val="24"/>
        </w:rPr>
        <w:t>depasite,limita</w:t>
      </w:r>
      <w:proofErr w:type="gramEnd"/>
      <w:r w:rsidRPr="00CC24B5">
        <w:rPr>
          <w:rFonts w:ascii="Calibri" w:eastAsia="Calibri" w:hAnsi="Calibri" w:cs="Calibri"/>
          <w:szCs w:val="24"/>
        </w:rPr>
        <w:t xml:space="preserve"> normativa este Plt ≤ 1. Din totalul de 4.320 posturi de transformare analizate, situatia se prezinta astfel:</w:t>
      </w:r>
    </w:p>
    <w:p w:rsidR="00CC24B5" w:rsidRPr="00CC24B5" w:rsidRDefault="00CC24B5" w:rsidP="00CC24B5">
      <w:pPr>
        <w:numPr>
          <w:ilvl w:val="0"/>
          <w:numId w:val="8"/>
        </w:numPr>
        <w:spacing w:beforeAutospacing="1" w:after="120" w:afterAutospacing="1" w:line="240" w:lineRule="auto"/>
        <w:jc w:val="both"/>
        <w:rPr>
          <w:rFonts w:ascii="Times New Roman" w:eastAsia="Times New Roman" w:hAnsi="Times New Roman" w:cs="Times New Roman"/>
          <w:sz w:val="24"/>
          <w:szCs w:val="24"/>
        </w:rPr>
      </w:pPr>
      <w:r w:rsidRPr="00CC24B5">
        <w:rPr>
          <w:rFonts w:ascii="Calibri" w:eastAsia="Calibri" w:hAnsi="Calibri" w:cs="Calibri"/>
          <w:b/>
          <w:bCs/>
          <w:szCs w:val="24"/>
        </w:rPr>
        <w:t>2.503 posturi (57,9%)</w:t>
      </w:r>
      <w:r w:rsidRPr="00CC24B5">
        <w:rPr>
          <w:rFonts w:ascii="Calibri" w:eastAsia="Calibri" w:hAnsi="Calibri" w:cs="Calibri"/>
          <w:szCs w:val="24"/>
        </w:rPr>
        <w:t xml:space="preserve"> nu inregistreaza nicio saptamana cu depasiri ale valorii normale de flicker</w:t>
      </w:r>
    </w:p>
    <w:p w:rsidR="00CC24B5" w:rsidRPr="00CC24B5" w:rsidRDefault="00CC24B5" w:rsidP="00CC24B5">
      <w:pPr>
        <w:numPr>
          <w:ilvl w:val="0"/>
          <w:numId w:val="8"/>
        </w:numPr>
        <w:spacing w:beforeAutospacing="1" w:after="120" w:afterAutospacing="1" w:line="240" w:lineRule="auto"/>
        <w:jc w:val="both"/>
        <w:rPr>
          <w:rFonts w:ascii="Times New Roman" w:eastAsia="Times New Roman" w:hAnsi="Times New Roman" w:cs="Times New Roman"/>
          <w:sz w:val="24"/>
          <w:szCs w:val="24"/>
        </w:rPr>
      </w:pPr>
      <w:r w:rsidRPr="00CC24B5">
        <w:rPr>
          <w:rFonts w:ascii="Calibri" w:eastAsia="Calibri" w:hAnsi="Calibri" w:cs="Calibri"/>
          <w:b/>
          <w:bCs/>
          <w:szCs w:val="24"/>
        </w:rPr>
        <w:t>1.750 posturi (40,5%)</w:t>
      </w:r>
      <w:r w:rsidRPr="00CC24B5">
        <w:rPr>
          <w:rFonts w:ascii="Calibri" w:eastAsia="Calibri" w:hAnsi="Calibri" w:cs="Calibri"/>
          <w:szCs w:val="24"/>
        </w:rPr>
        <w:t xml:space="preserve"> prezinta depasiri in intervalul 1–13 saptamani</w:t>
      </w:r>
    </w:p>
    <w:p w:rsidR="00CC24B5" w:rsidRPr="00CC24B5" w:rsidRDefault="00CC24B5" w:rsidP="00CC24B5">
      <w:pPr>
        <w:numPr>
          <w:ilvl w:val="0"/>
          <w:numId w:val="8"/>
        </w:numPr>
        <w:spacing w:beforeAutospacing="1" w:after="120" w:afterAutospacing="1" w:line="240" w:lineRule="auto"/>
        <w:jc w:val="both"/>
        <w:rPr>
          <w:rFonts w:ascii="Times New Roman" w:eastAsia="Times New Roman" w:hAnsi="Times New Roman" w:cs="Times New Roman"/>
          <w:sz w:val="24"/>
          <w:szCs w:val="24"/>
        </w:rPr>
      </w:pPr>
      <w:r w:rsidRPr="00CC24B5">
        <w:rPr>
          <w:rFonts w:ascii="Calibri" w:eastAsia="Calibri" w:hAnsi="Calibri" w:cs="Calibri"/>
          <w:b/>
          <w:bCs/>
          <w:szCs w:val="24"/>
        </w:rPr>
        <w:t>34 posturi (0,79%)</w:t>
      </w:r>
      <w:r w:rsidRPr="00CC24B5">
        <w:rPr>
          <w:rFonts w:ascii="Calibri" w:eastAsia="Calibri" w:hAnsi="Calibri" w:cs="Calibri"/>
          <w:szCs w:val="24"/>
        </w:rPr>
        <w:t xml:space="preserve"> prezinta depasiri in intervalul 14–26 saptamani</w:t>
      </w:r>
    </w:p>
    <w:p w:rsidR="00CC24B5" w:rsidRPr="00CC24B5" w:rsidRDefault="00CC24B5" w:rsidP="00CC24B5">
      <w:pPr>
        <w:numPr>
          <w:ilvl w:val="0"/>
          <w:numId w:val="8"/>
        </w:numPr>
        <w:spacing w:beforeAutospacing="1" w:after="120" w:afterAutospacing="1" w:line="240" w:lineRule="auto"/>
        <w:jc w:val="both"/>
        <w:rPr>
          <w:rFonts w:ascii="Times New Roman" w:eastAsia="Times New Roman" w:hAnsi="Times New Roman" w:cs="Times New Roman"/>
          <w:sz w:val="24"/>
          <w:szCs w:val="24"/>
        </w:rPr>
      </w:pPr>
      <w:r w:rsidRPr="00CC24B5">
        <w:rPr>
          <w:rFonts w:ascii="Calibri" w:eastAsia="Calibri" w:hAnsi="Calibri" w:cs="Calibri"/>
          <w:b/>
          <w:bCs/>
          <w:szCs w:val="24"/>
        </w:rPr>
        <w:t>18 posturi (0,42%)</w:t>
      </w:r>
      <w:r w:rsidRPr="00CC24B5">
        <w:rPr>
          <w:rFonts w:ascii="Calibri" w:eastAsia="Calibri" w:hAnsi="Calibri" w:cs="Calibri"/>
          <w:szCs w:val="24"/>
        </w:rPr>
        <w:t xml:space="preserve"> prezinta depasiri in intervalul 27–39 saptamani</w:t>
      </w:r>
    </w:p>
    <w:p w:rsidR="00CC24B5" w:rsidRPr="00CC24B5" w:rsidRDefault="00CC24B5" w:rsidP="00CC24B5">
      <w:pPr>
        <w:numPr>
          <w:ilvl w:val="0"/>
          <w:numId w:val="8"/>
        </w:numPr>
        <w:spacing w:beforeAutospacing="1" w:after="120" w:afterAutospacing="1" w:line="240" w:lineRule="auto"/>
        <w:jc w:val="both"/>
        <w:rPr>
          <w:rFonts w:ascii="Times New Roman" w:eastAsia="Times New Roman" w:hAnsi="Times New Roman" w:cs="Times New Roman"/>
          <w:sz w:val="24"/>
          <w:szCs w:val="24"/>
        </w:rPr>
      </w:pPr>
      <w:r w:rsidRPr="00CC24B5">
        <w:rPr>
          <w:rFonts w:ascii="Calibri" w:eastAsia="Calibri" w:hAnsi="Calibri" w:cs="Calibri"/>
          <w:b/>
          <w:bCs/>
          <w:szCs w:val="24"/>
        </w:rPr>
        <w:t>15 posturi (0,35%)</w:t>
      </w:r>
      <w:r w:rsidRPr="00CC24B5">
        <w:rPr>
          <w:rFonts w:ascii="Calibri" w:eastAsia="Calibri" w:hAnsi="Calibri" w:cs="Calibri"/>
          <w:szCs w:val="24"/>
        </w:rPr>
        <w:t xml:space="preserve"> prezinta depasiri in intervalul 40–52 saptamani</w:t>
      </w:r>
    </w:p>
    <w:p w:rsidR="00CC24B5" w:rsidRPr="00CC24B5" w:rsidRDefault="00CC24B5" w:rsidP="00CC24B5">
      <w:pPr>
        <w:keepNext/>
        <w:spacing w:before="160" w:after="80" w:line="240" w:lineRule="auto"/>
        <w:jc w:val="center"/>
        <w:rPr>
          <w:rFonts w:ascii="Arial" w:eastAsia="Arial" w:hAnsi="Arial" w:cs="Arial"/>
        </w:rPr>
      </w:pPr>
      <w:r w:rsidRPr="00CC24B5">
        <w:rPr>
          <w:rFonts w:ascii="Calibri" w:eastAsia="Calibri" w:hAnsi="Calibri" w:cs="Calibri"/>
          <w:noProof/>
          <w:color w:val="000000"/>
        </w:rPr>
        <w:drawing>
          <wp:inline distT="0" distB="0" distL="0" distR="0" wp14:anchorId="678E90D7" wp14:editId="6357714E">
            <wp:extent cx="5245100" cy="2900232"/>
            <wp:effectExtent l="0" t="0" r="0" b="0"/>
            <wp:docPr id="207546416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247927" cy="2901795"/>
                    </a:xfrm>
                    <a:prstGeom prst="rect">
                      <a:avLst/>
                    </a:prstGeom>
                    <a:noFill/>
                    <a:ln>
                      <a:noFill/>
                    </a:ln>
                  </pic:spPr>
                </pic:pic>
              </a:graphicData>
            </a:graphic>
          </wp:inline>
        </w:drawing>
      </w:r>
    </w:p>
    <w:p w:rsidR="00CC24B5" w:rsidRPr="00CC24B5" w:rsidRDefault="00CC24B5" w:rsidP="00CC24B5">
      <w:pPr>
        <w:spacing w:after="0" w:line="240" w:lineRule="auto"/>
        <w:rPr>
          <w:rFonts w:ascii="Arial" w:eastAsia="Arial" w:hAnsi="Arial" w:cs="Arial"/>
        </w:rPr>
      </w:pPr>
    </w:p>
    <w:p w:rsidR="00CC24B5" w:rsidRPr="00CC24B5" w:rsidRDefault="00CC24B5" w:rsidP="00CC24B5">
      <w:pPr>
        <w:spacing w:after="0" w:line="240" w:lineRule="auto"/>
        <w:rPr>
          <w:rFonts w:ascii="Arial" w:eastAsia="Arial" w:hAnsi="Arial" w:cs="Arial"/>
        </w:rPr>
      </w:pPr>
    </w:p>
    <w:p w:rsidR="00CC24B5" w:rsidRPr="00CC24B5" w:rsidRDefault="00CC24B5" w:rsidP="00CC24B5">
      <w:pPr>
        <w:spacing w:after="120" w:line="240" w:lineRule="auto"/>
        <w:jc w:val="both"/>
        <w:rPr>
          <w:rFonts w:ascii="Arial" w:eastAsia="Arial" w:hAnsi="Arial" w:cs="Arial"/>
        </w:rPr>
      </w:pPr>
      <w:r w:rsidRPr="00CC24B5">
        <w:rPr>
          <w:rFonts w:ascii="Calibri" w:eastAsia="Calibri" w:hAnsi="Calibri" w:cs="Calibri"/>
          <w:b/>
          <w:bCs/>
        </w:rPr>
        <w:t>Concluzie:</w:t>
      </w:r>
      <w:r w:rsidRPr="00CC24B5">
        <w:rPr>
          <w:rFonts w:ascii="Calibri" w:eastAsia="Calibri" w:hAnsi="Calibri" w:cs="Calibri"/>
        </w:rPr>
        <w:t xml:space="preserve"> Aproximativ 42,1% din totalul posturilor inregistreaza cel putin o saptamana cu depasiri ale valorii normale de flicker pe termen lung. Cele 67 de posturi cu depasiri frecvente (peste 14 saptamani) necesita investigatii prioritare privind identificarea surselor de fluctuatii rapide de tensiune (cuptoare cu arc, motoare cu porniri frecvente, suduri industriale etc.) si implementarea unor masuri de atenuare corespunzatoare.</w:t>
      </w:r>
      <w:r w:rsidRPr="00CC24B5">
        <w:rPr>
          <w:rFonts w:ascii="Calibri" w:eastAsia="Calibri" w:hAnsi="Calibri" w:cs="Calibri"/>
        </w:rPr>
        <w:br w:type="page"/>
      </w:r>
    </w:p>
    <w:p w:rsidR="00CC24B5" w:rsidRPr="00CC24B5" w:rsidRDefault="00CC24B5" w:rsidP="00CC24B5">
      <w:pPr>
        <w:keepNext/>
        <w:spacing w:before="280" w:after="120" w:line="240" w:lineRule="auto"/>
        <w:outlineLvl w:val="1"/>
        <w:rPr>
          <w:rFonts w:ascii="Arial" w:eastAsia="Arial" w:hAnsi="Arial" w:cs="Arial"/>
          <w:b/>
          <w:bCs/>
          <w:color w:val="2E75B6"/>
          <w:sz w:val="28"/>
          <w:szCs w:val="28"/>
        </w:rPr>
      </w:pPr>
      <w:bookmarkStart w:id="8" w:name="_Toc232168944"/>
      <w:r w:rsidRPr="00CC24B5">
        <w:rPr>
          <w:rFonts w:ascii="Calibri" w:eastAsia="Calibri" w:hAnsi="Calibri" w:cs="Calibri"/>
          <w:b/>
          <w:bCs/>
          <w:color w:val="2E75B6"/>
          <w:sz w:val="28"/>
          <w:szCs w:val="28"/>
        </w:rPr>
        <w:lastRenderedPageBreak/>
        <w:t>3.1.9 Armonici H2–H25</w:t>
      </w:r>
      <w:bookmarkEnd w:id="8"/>
    </w:p>
    <w:p w:rsidR="00CC24B5" w:rsidRPr="00CC24B5" w:rsidRDefault="00CC24B5" w:rsidP="00CC24B5">
      <w:pPr>
        <w:spacing w:before="80" w:after="80" w:line="240" w:lineRule="auto"/>
        <w:jc w:val="both"/>
        <w:rPr>
          <w:rFonts w:ascii="Arial" w:eastAsia="Arial" w:hAnsi="Arial" w:cs="Arial"/>
          <w:color w:val="000000"/>
        </w:rPr>
      </w:pPr>
      <w:r w:rsidRPr="00CC24B5">
        <w:rPr>
          <w:rFonts w:ascii="Calibri" w:eastAsia="Calibri" w:hAnsi="Calibri" w:cs="Calibri"/>
          <w:color w:val="000000"/>
        </w:rPr>
        <w:t xml:space="preserve">Analiza detaliata a depasirilor pentru fiecare ordin armonic (H2–H25) pe totalul posturilor cu date valide este prezentata in graficul de mai jos. Limita de </w:t>
      </w:r>
      <w:proofErr w:type="gramStart"/>
      <w:r w:rsidRPr="00CC24B5">
        <w:rPr>
          <w:rFonts w:ascii="Calibri" w:eastAsia="Calibri" w:hAnsi="Calibri" w:cs="Calibri"/>
          <w:color w:val="000000"/>
        </w:rPr>
        <w:t>referinta  variaza</w:t>
      </w:r>
      <w:proofErr w:type="gramEnd"/>
      <w:r w:rsidRPr="00CC24B5">
        <w:rPr>
          <w:rFonts w:ascii="Calibri" w:eastAsia="Calibri" w:hAnsi="Calibri" w:cs="Calibri"/>
          <w:color w:val="000000"/>
        </w:rPr>
        <w:t xml:space="preserve"> in functie de ordinul armonicii (de ex.: H5 ≤ 6%, H7 ≤ 5%, H11 ≤ 3,5%, H13 ≤ 3%, THD ≤ 8%).</w:t>
      </w:r>
    </w:p>
    <w:p w:rsidR="00CC24B5" w:rsidRPr="00CC24B5" w:rsidRDefault="00CC24B5" w:rsidP="00CC24B5">
      <w:pPr>
        <w:spacing w:before="80" w:after="80" w:line="240" w:lineRule="auto"/>
        <w:jc w:val="both"/>
        <w:rPr>
          <w:rFonts w:ascii="Arial" w:eastAsia="Arial" w:hAnsi="Arial" w:cs="Arial"/>
        </w:rPr>
      </w:pPr>
      <w:r w:rsidRPr="00CC24B5">
        <w:rPr>
          <w:rFonts w:ascii="Calibri" w:eastAsia="Calibri" w:hAnsi="Calibri" w:cs="Calibri"/>
          <w:color w:val="000000"/>
        </w:rPr>
        <w:t>Nota:in analiza armonicilor au fost luate in considerate doar cele de tip MEg45 3964buc care includ monitorizarea tuturor parametrilor.</w:t>
      </w:r>
    </w:p>
    <w:p w:rsidR="00CC24B5" w:rsidRPr="00CC24B5" w:rsidRDefault="00CC24B5" w:rsidP="00CC24B5">
      <w:pPr>
        <w:keepNext/>
        <w:spacing w:before="160" w:after="80" w:line="240" w:lineRule="auto"/>
        <w:jc w:val="center"/>
        <w:rPr>
          <w:rFonts w:ascii="Arial" w:eastAsia="Arial" w:hAnsi="Arial" w:cs="Arial"/>
        </w:rPr>
      </w:pPr>
      <w:r w:rsidRPr="00CC24B5">
        <w:rPr>
          <w:rFonts w:ascii="Calibri" w:eastAsia="Calibri" w:hAnsi="Calibri" w:cs="Calibri"/>
          <w:noProof/>
        </w:rPr>
        <w:drawing>
          <wp:inline distT="0" distB="0" distL="0" distR="0" wp14:anchorId="2CA29813" wp14:editId="74B0E977">
            <wp:extent cx="5905500" cy="2952750"/>
            <wp:effectExtent l="0" t="0" r="0" b="0"/>
            <wp:docPr id="1366566939" name="Picture 1366566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8"/>
                    <a:srcRect/>
                    <a:stretch>
                      <a:fillRect/>
                    </a:stretch>
                  </pic:blipFill>
                  <pic:spPr bwMode="auto">
                    <a:xfrm>
                      <a:off x="0" y="0"/>
                      <a:ext cx="5905500" cy="2952750"/>
                    </a:xfrm>
                    <a:prstGeom prst="rect">
                      <a:avLst/>
                    </a:prstGeom>
                  </pic:spPr>
                </pic:pic>
              </a:graphicData>
            </a:graphic>
          </wp:inline>
        </w:drawing>
      </w:r>
    </w:p>
    <w:p w:rsidR="00CC24B5" w:rsidRPr="00CC24B5" w:rsidRDefault="00CC24B5" w:rsidP="00CC24B5">
      <w:pPr>
        <w:spacing w:before="40" w:after="240" w:line="240" w:lineRule="auto"/>
        <w:jc w:val="center"/>
        <w:rPr>
          <w:rFonts w:ascii="Arial" w:eastAsia="Arial" w:hAnsi="Arial" w:cs="Arial"/>
        </w:rPr>
      </w:pPr>
      <w:r w:rsidRPr="00CC24B5">
        <w:rPr>
          <w:rFonts w:ascii="Calibri" w:eastAsia="Calibri" w:hAnsi="Calibri" w:cs="Calibri"/>
          <w:i/>
          <w:iCs/>
          <w:color w:val="595959"/>
          <w:sz w:val="20"/>
          <w:szCs w:val="18"/>
        </w:rPr>
        <w:t>Figura 3.9 – Distributie posturi cu/fara depasiri per ordin armonic (H2–H25)</w:t>
      </w:r>
    </w:p>
    <w:p w:rsidR="00CC24B5" w:rsidRPr="00CC24B5" w:rsidRDefault="00CC24B5" w:rsidP="00CC24B5">
      <w:pPr>
        <w:spacing w:before="80" w:after="0" w:line="240" w:lineRule="auto"/>
        <w:rPr>
          <w:rFonts w:ascii="Arial" w:eastAsia="Arial" w:hAnsi="Arial" w:cs="Arial"/>
        </w:rPr>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2340"/>
        <w:gridCol w:w="2340"/>
        <w:gridCol w:w="2340"/>
        <w:gridCol w:w="2340"/>
      </w:tblGrid>
      <w:tr w:rsidR="00CC24B5" w:rsidRPr="00CC24B5" w:rsidTr="00CC24B5">
        <w:trPr>
          <w:tblHeader/>
        </w:trPr>
        <w:tc>
          <w:tcPr>
            <w:tcW w:w="2340" w:type="dxa"/>
            <w:tcBorders>
              <w:top w:val="single" w:sz="1" w:space="0" w:color="BFBFBF"/>
              <w:left w:val="single" w:sz="1" w:space="0" w:color="BFBFBF"/>
              <w:bottom w:val="single" w:sz="1" w:space="0" w:color="BFBFBF"/>
              <w:right w:val="single" w:sz="1" w:space="0" w:color="BFBFBF"/>
            </w:tcBorders>
            <w:shd w:val="clear" w:color="auto" w:fill="2E75B6"/>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b/>
                <w:bCs/>
                <w:color w:val="FFFFFF"/>
                <w:sz w:val="20"/>
                <w:szCs w:val="20"/>
              </w:rPr>
              <w:t>Ordin armonic</w:t>
            </w:r>
          </w:p>
        </w:tc>
        <w:tc>
          <w:tcPr>
            <w:tcW w:w="2340" w:type="dxa"/>
            <w:tcBorders>
              <w:top w:val="single" w:sz="1" w:space="0" w:color="BFBFBF"/>
              <w:left w:val="single" w:sz="1" w:space="0" w:color="BFBFBF"/>
              <w:bottom w:val="single" w:sz="1" w:space="0" w:color="BFBFBF"/>
              <w:right w:val="single" w:sz="1" w:space="0" w:color="BFBFBF"/>
            </w:tcBorders>
            <w:shd w:val="clear" w:color="auto" w:fill="2E75B6"/>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b/>
                <w:bCs/>
                <w:color w:val="FFFFFF"/>
                <w:sz w:val="20"/>
                <w:szCs w:val="20"/>
              </w:rPr>
              <w:t>Posturi cu depasiri</w:t>
            </w:r>
          </w:p>
        </w:tc>
        <w:tc>
          <w:tcPr>
            <w:tcW w:w="2340" w:type="dxa"/>
            <w:tcBorders>
              <w:top w:val="single" w:sz="1" w:space="0" w:color="BFBFBF"/>
              <w:left w:val="single" w:sz="1" w:space="0" w:color="BFBFBF"/>
              <w:bottom w:val="single" w:sz="1" w:space="0" w:color="BFBFBF"/>
              <w:right w:val="single" w:sz="1" w:space="0" w:color="BFBFBF"/>
            </w:tcBorders>
            <w:shd w:val="clear" w:color="auto" w:fill="2E75B6"/>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b/>
                <w:bCs/>
                <w:color w:val="FFFFFF"/>
                <w:sz w:val="20"/>
                <w:szCs w:val="20"/>
              </w:rPr>
              <w:t>Posturi fara depasiri</w:t>
            </w:r>
          </w:p>
        </w:tc>
        <w:tc>
          <w:tcPr>
            <w:tcW w:w="2340" w:type="dxa"/>
            <w:tcBorders>
              <w:top w:val="single" w:sz="1" w:space="0" w:color="BFBFBF"/>
              <w:left w:val="single" w:sz="1" w:space="0" w:color="BFBFBF"/>
              <w:bottom w:val="single" w:sz="1" w:space="0" w:color="BFBFBF"/>
              <w:right w:val="single" w:sz="1" w:space="0" w:color="BFBFBF"/>
            </w:tcBorders>
            <w:shd w:val="clear" w:color="auto" w:fill="2E75B6"/>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b/>
                <w:bCs/>
                <w:color w:val="FFFFFF"/>
                <w:sz w:val="20"/>
                <w:szCs w:val="20"/>
              </w:rPr>
              <w:t>Rata depasire</w:t>
            </w:r>
          </w:p>
        </w:tc>
      </w:tr>
      <w:tr w:rsidR="00CC24B5" w:rsidRPr="00CC24B5" w:rsidTr="00CC24B5">
        <w:tc>
          <w:tcPr>
            <w:tcW w:w="2340" w:type="dxa"/>
            <w:tcBorders>
              <w:top w:val="single" w:sz="1" w:space="0" w:color="BFBFBF"/>
              <w:left w:val="single" w:sz="1" w:space="0" w:color="BFBFBF"/>
              <w:bottom w:val="single" w:sz="1" w:space="0" w:color="BFBFBF"/>
              <w:right w:val="single" w:sz="1" w:space="0" w:color="BFBFBF"/>
            </w:tcBorders>
            <w:shd w:val="clear" w:color="auto" w:fill="EBF3FB"/>
            <w:tcMar>
              <w:top w:w="60" w:type="dxa"/>
              <w:left w:w="120" w:type="dxa"/>
              <w:bottom w:w="60" w:type="dxa"/>
              <w:right w:w="120" w:type="dxa"/>
            </w:tcMar>
          </w:tcPr>
          <w:p w:rsidR="00CC24B5" w:rsidRPr="00CC24B5" w:rsidRDefault="00CC24B5" w:rsidP="00CC24B5">
            <w:pPr>
              <w:spacing w:before="40" w:after="40" w:line="240" w:lineRule="auto"/>
              <w:rPr>
                <w:rFonts w:ascii="Arial" w:eastAsia="Arial" w:hAnsi="Arial" w:cs="Arial"/>
              </w:rPr>
            </w:pPr>
            <w:r w:rsidRPr="00CC24B5">
              <w:rPr>
                <w:rFonts w:ascii="Calibri" w:eastAsia="Calibri" w:hAnsi="Calibri" w:cs="Calibri"/>
                <w:sz w:val="20"/>
                <w:szCs w:val="20"/>
              </w:rPr>
              <w:t>H2</w:t>
            </w:r>
          </w:p>
        </w:tc>
        <w:tc>
          <w:tcPr>
            <w:tcW w:w="2340" w:type="dxa"/>
            <w:tcBorders>
              <w:top w:val="single" w:sz="1" w:space="0" w:color="BFBFBF"/>
              <w:left w:val="single" w:sz="1" w:space="0" w:color="BFBFBF"/>
              <w:bottom w:val="single" w:sz="1" w:space="0" w:color="BFBFBF"/>
              <w:right w:val="single" w:sz="1" w:space="0" w:color="BFBFBF"/>
            </w:tcBorders>
            <w:shd w:val="clear" w:color="auto" w:fill="EBF3FB"/>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14</w:t>
            </w:r>
          </w:p>
        </w:tc>
        <w:tc>
          <w:tcPr>
            <w:tcW w:w="2340" w:type="dxa"/>
            <w:tcBorders>
              <w:top w:val="single" w:sz="1" w:space="0" w:color="BFBFBF"/>
              <w:left w:val="single" w:sz="1" w:space="0" w:color="BFBFBF"/>
              <w:bottom w:val="single" w:sz="1" w:space="0" w:color="BFBFBF"/>
              <w:right w:val="single" w:sz="1" w:space="0" w:color="BFBFBF"/>
            </w:tcBorders>
            <w:shd w:val="clear" w:color="auto" w:fill="EBF3FB"/>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3.950</w:t>
            </w:r>
          </w:p>
        </w:tc>
        <w:tc>
          <w:tcPr>
            <w:tcW w:w="2340" w:type="dxa"/>
            <w:tcBorders>
              <w:top w:val="single" w:sz="1" w:space="0" w:color="BFBFBF"/>
              <w:left w:val="single" w:sz="1" w:space="0" w:color="BFBFBF"/>
              <w:bottom w:val="single" w:sz="1" w:space="0" w:color="BFBFBF"/>
              <w:right w:val="single" w:sz="1" w:space="0" w:color="BFBFBF"/>
            </w:tcBorders>
            <w:shd w:val="clear" w:color="auto" w:fill="EBF3FB"/>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0,35%</w:t>
            </w:r>
          </w:p>
        </w:tc>
      </w:tr>
      <w:tr w:rsidR="00CC24B5" w:rsidRPr="00CC24B5" w:rsidTr="00CC24B5">
        <w:tc>
          <w:tcPr>
            <w:tcW w:w="2340" w:type="dxa"/>
            <w:tcBorders>
              <w:top w:val="single" w:sz="1" w:space="0" w:color="BFBFBF"/>
              <w:left w:val="single" w:sz="1" w:space="0" w:color="BFBFBF"/>
              <w:bottom w:val="single" w:sz="1" w:space="0" w:color="BFBFBF"/>
              <w:right w:val="single" w:sz="1" w:space="0" w:color="BFBFBF"/>
            </w:tcBorders>
            <w:shd w:val="clear" w:color="auto" w:fill="FFFFFF"/>
            <w:tcMar>
              <w:top w:w="60" w:type="dxa"/>
              <w:left w:w="120" w:type="dxa"/>
              <w:bottom w:w="60" w:type="dxa"/>
              <w:right w:w="120" w:type="dxa"/>
            </w:tcMar>
          </w:tcPr>
          <w:p w:rsidR="00CC24B5" w:rsidRPr="00CC24B5" w:rsidRDefault="00CC24B5" w:rsidP="00CC24B5">
            <w:pPr>
              <w:spacing w:before="40" w:after="40" w:line="240" w:lineRule="auto"/>
              <w:rPr>
                <w:rFonts w:ascii="Arial" w:eastAsia="Arial" w:hAnsi="Arial" w:cs="Arial"/>
              </w:rPr>
            </w:pPr>
            <w:r w:rsidRPr="00CC24B5">
              <w:rPr>
                <w:rFonts w:ascii="Calibri" w:eastAsia="Calibri" w:hAnsi="Calibri" w:cs="Calibri"/>
                <w:sz w:val="20"/>
                <w:szCs w:val="20"/>
              </w:rPr>
              <w:t>H3</w:t>
            </w:r>
          </w:p>
        </w:tc>
        <w:tc>
          <w:tcPr>
            <w:tcW w:w="2340" w:type="dxa"/>
            <w:tcBorders>
              <w:top w:val="single" w:sz="1" w:space="0" w:color="BFBFBF"/>
              <w:left w:val="single" w:sz="1" w:space="0" w:color="BFBFBF"/>
              <w:bottom w:val="single" w:sz="1" w:space="0" w:color="BFBFBF"/>
              <w:right w:val="single" w:sz="1" w:space="0" w:color="BFBFBF"/>
            </w:tcBorders>
            <w:shd w:val="clear" w:color="auto" w:fill="FFFFFF"/>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13</w:t>
            </w:r>
          </w:p>
        </w:tc>
        <w:tc>
          <w:tcPr>
            <w:tcW w:w="2340" w:type="dxa"/>
            <w:tcBorders>
              <w:top w:val="single" w:sz="1" w:space="0" w:color="BFBFBF"/>
              <w:left w:val="single" w:sz="1" w:space="0" w:color="BFBFBF"/>
              <w:bottom w:val="single" w:sz="1" w:space="0" w:color="BFBFBF"/>
              <w:right w:val="single" w:sz="1" w:space="0" w:color="BFBFBF"/>
            </w:tcBorders>
            <w:shd w:val="clear" w:color="auto" w:fill="FFFFFF"/>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3.951</w:t>
            </w:r>
          </w:p>
        </w:tc>
        <w:tc>
          <w:tcPr>
            <w:tcW w:w="2340" w:type="dxa"/>
            <w:tcBorders>
              <w:top w:val="single" w:sz="1" w:space="0" w:color="BFBFBF"/>
              <w:left w:val="single" w:sz="1" w:space="0" w:color="BFBFBF"/>
              <w:bottom w:val="single" w:sz="1" w:space="0" w:color="BFBFBF"/>
              <w:right w:val="single" w:sz="1" w:space="0" w:color="BFBFBF"/>
            </w:tcBorders>
            <w:shd w:val="clear" w:color="auto" w:fill="FFFFFF"/>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0,33%</w:t>
            </w:r>
          </w:p>
        </w:tc>
      </w:tr>
      <w:tr w:rsidR="00CC24B5" w:rsidRPr="00CC24B5" w:rsidTr="00CC24B5">
        <w:tc>
          <w:tcPr>
            <w:tcW w:w="2340" w:type="dxa"/>
            <w:tcBorders>
              <w:top w:val="single" w:sz="1" w:space="0" w:color="BFBFBF"/>
              <w:left w:val="single" w:sz="1" w:space="0" w:color="BFBFBF"/>
              <w:bottom w:val="single" w:sz="1" w:space="0" w:color="BFBFBF"/>
              <w:right w:val="single" w:sz="1" w:space="0" w:color="BFBFBF"/>
            </w:tcBorders>
            <w:shd w:val="clear" w:color="auto" w:fill="EBF3FB"/>
            <w:tcMar>
              <w:top w:w="60" w:type="dxa"/>
              <w:left w:w="120" w:type="dxa"/>
              <w:bottom w:w="60" w:type="dxa"/>
              <w:right w:w="120" w:type="dxa"/>
            </w:tcMar>
          </w:tcPr>
          <w:p w:rsidR="00CC24B5" w:rsidRPr="00CC24B5" w:rsidRDefault="00CC24B5" w:rsidP="00CC24B5">
            <w:pPr>
              <w:spacing w:before="40" w:after="40" w:line="240" w:lineRule="auto"/>
              <w:rPr>
                <w:rFonts w:ascii="Arial" w:eastAsia="Arial" w:hAnsi="Arial" w:cs="Arial"/>
              </w:rPr>
            </w:pPr>
            <w:r w:rsidRPr="00CC24B5">
              <w:rPr>
                <w:rFonts w:ascii="Calibri" w:eastAsia="Calibri" w:hAnsi="Calibri" w:cs="Calibri"/>
                <w:sz w:val="20"/>
                <w:szCs w:val="20"/>
              </w:rPr>
              <w:t>H4</w:t>
            </w:r>
          </w:p>
        </w:tc>
        <w:tc>
          <w:tcPr>
            <w:tcW w:w="2340" w:type="dxa"/>
            <w:tcBorders>
              <w:top w:val="single" w:sz="1" w:space="0" w:color="BFBFBF"/>
              <w:left w:val="single" w:sz="1" w:space="0" w:color="BFBFBF"/>
              <w:bottom w:val="single" w:sz="1" w:space="0" w:color="BFBFBF"/>
              <w:right w:val="single" w:sz="1" w:space="0" w:color="BFBFBF"/>
            </w:tcBorders>
            <w:shd w:val="clear" w:color="auto" w:fill="EBF3FB"/>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34</w:t>
            </w:r>
          </w:p>
        </w:tc>
        <w:tc>
          <w:tcPr>
            <w:tcW w:w="2340" w:type="dxa"/>
            <w:tcBorders>
              <w:top w:val="single" w:sz="1" w:space="0" w:color="BFBFBF"/>
              <w:left w:val="single" w:sz="1" w:space="0" w:color="BFBFBF"/>
              <w:bottom w:val="single" w:sz="1" w:space="0" w:color="BFBFBF"/>
              <w:right w:val="single" w:sz="1" w:space="0" w:color="BFBFBF"/>
            </w:tcBorders>
            <w:shd w:val="clear" w:color="auto" w:fill="EBF3FB"/>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3.930</w:t>
            </w:r>
          </w:p>
        </w:tc>
        <w:tc>
          <w:tcPr>
            <w:tcW w:w="2340" w:type="dxa"/>
            <w:tcBorders>
              <w:top w:val="single" w:sz="1" w:space="0" w:color="BFBFBF"/>
              <w:left w:val="single" w:sz="1" w:space="0" w:color="BFBFBF"/>
              <w:bottom w:val="single" w:sz="1" w:space="0" w:color="BFBFBF"/>
              <w:right w:val="single" w:sz="1" w:space="0" w:color="BFBFBF"/>
            </w:tcBorders>
            <w:shd w:val="clear" w:color="auto" w:fill="EBF3FB"/>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0,86%</w:t>
            </w:r>
          </w:p>
        </w:tc>
      </w:tr>
      <w:tr w:rsidR="00CC24B5" w:rsidRPr="00CC24B5" w:rsidTr="00CC24B5">
        <w:tc>
          <w:tcPr>
            <w:tcW w:w="2340" w:type="dxa"/>
            <w:tcBorders>
              <w:top w:val="single" w:sz="1" w:space="0" w:color="BFBFBF"/>
              <w:left w:val="single" w:sz="1" w:space="0" w:color="BFBFBF"/>
              <w:bottom w:val="single" w:sz="1" w:space="0" w:color="BFBFBF"/>
              <w:right w:val="single" w:sz="1" w:space="0" w:color="BFBFBF"/>
            </w:tcBorders>
            <w:shd w:val="clear" w:color="auto" w:fill="FFFFFF"/>
            <w:tcMar>
              <w:top w:w="60" w:type="dxa"/>
              <w:left w:w="120" w:type="dxa"/>
              <w:bottom w:w="60" w:type="dxa"/>
              <w:right w:w="120" w:type="dxa"/>
            </w:tcMar>
          </w:tcPr>
          <w:p w:rsidR="00CC24B5" w:rsidRPr="00CC24B5" w:rsidRDefault="00CC24B5" w:rsidP="00CC24B5">
            <w:pPr>
              <w:spacing w:before="40" w:after="40" w:line="240" w:lineRule="auto"/>
              <w:rPr>
                <w:rFonts w:ascii="Arial" w:eastAsia="Arial" w:hAnsi="Arial" w:cs="Arial"/>
              </w:rPr>
            </w:pPr>
            <w:r w:rsidRPr="00CC24B5">
              <w:rPr>
                <w:rFonts w:ascii="Calibri" w:eastAsia="Calibri" w:hAnsi="Calibri" w:cs="Calibri"/>
                <w:sz w:val="20"/>
                <w:szCs w:val="20"/>
              </w:rPr>
              <w:t>H5</w:t>
            </w:r>
          </w:p>
        </w:tc>
        <w:tc>
          <w:tcPr>
            <w:tcW w:w="2340" w:type="dxa"/>
            <w:tcBorders>
              <w:top w:val="single" w:sz="1" w:space="0" w:color="BFBFBF"/>
              <w:left w:val="single" w:sz="1" w:space="0" w:color="BFBFBF"/>
              <w:bottom w:val="single" w:sz="1" w:space="0" w:color="BFBFBF"/>
              <w:right w:val="single" w:sz="1" w:space="0" w:color="BFBFBF"/>
            </w:tcBorders>
            <w:shd w:val="clear" w:color="auto" w:fill="FFFFFF"/>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28</w:t>
            </w:r>
          </w:p>
        </w:tc>
        <w:tc>
          <w:tcPr>
            <w:tcW w:w="2340" w:type="dxa"/>
            <w:tcBorders>
              <w:top w:val="single" w:sz="1" w:space="0" w:color="BFBFBF"/>
              <w:left w:val="single" w:sz="1" w:space="0" w:color="BFBFBF"/>
              <w:bottom w:val="single" w:sz="1" w:space="0" w:color="BFBFBF"/>
              <w:right w:val="single" w:sz="1" w:space="0" w:color="BFBFBF"/>
            </w:tcBorders>
            <w:shd w:val="clear" w:color="auto" w:fill="FFFFFF"/>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3.936</w:t>
            </w:r>
          </w:p>
        </w:tc>
        <w:tc>
          <w:tcPr>
            <w:tcW w:w="2340" w:type="dxa"/>
            <w:tcBorders>
              <w:top w:val="single" w:sz="1" w:space="0" w:color="BFBFBF"/>
              <w:left w:val="single" w:sz="1" w:space="0" w:color="BFBFBF"/>
              <w:bottom w:val="single" w:sz="1" w:space="0" w:color="BFBFBF"/>
              <w:right w:val="single" w:sz="1" w:space="0" w:color="BFBFBF"/>
            </w:tcBorders>
            <w:shd w:val="clear" w:color="auto" w:fill="FFFFFF"/>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0,70%</w:t>
            </w:r>
          </w:p>
        </w:tc>
      </w:tr>
      <w:tr w:rsidR="00CC24B5" w:rsidRPr="00CC24B5" w:rsidTr="00CC24B5">
        <w:tc>
          <w:tcPr>
            <w:tcW w:w="2340" w:type="dxa"/>
            <w:tcBorders>
              <w:top w:val="single" w:sz="1" w:space="0" w:color="BFBFBF"/>
              <w:left w:val="single" w:sz="1" w:space="0" w:color="BFBFBF"/>
              <w:bottom w:val="single" w:sz="1" w:space="0" w:color="BFBFBF"/>
              <w:right w:val="single" w:sz="1" w:space="0" w:color="BFBFBF"/>
            </w:tcBorders>
            <w:shd w:val="clear" w:color="auto" w:fill="EBF3FB"/>
            <w:tcMar>
              <w:top w:w="60" w:type="dxa"/>
              <w:left w:w="120" w:type="dxa"/>
              <w:bottom w:w="60" w:type="dxa"/>
              <w:right w:w="120" w:type="dxa"/>
            </w:tcMar>
          </w:tcPr>
          <w:p w:rsidR="00CC24B5" w:rsidRPr="00CC24B5" w:rsidRDefault="00CC24B5" w:rsidP="00CC24B5">
            <w:pPr>
              <w:spacing w:before="40" w:after="40" w:line="240" w:lineRule="auto"/>
              <w:rPr>
                <w:rFonts w:ascii="Arial" w:eastAsia="Arial" w:hAnsi="Arial" w:cs="Arial"/>
              </w:rPr>
            </w:pPr>
            <w:r w:rsidRPr="00CC24B5">
              <w:rPr>
                <w:rFonts w:ascii="Calibri" w:eastAsia="Calibri" w:hAnsi="Calibri" w:cs="Calibri"/>
                <w:sz w:val="20"/>
                <w:szCs w:val="20"/>
              </w:rPr>
              <w:t>H6</w:t>
            </w:r>
          </w:p>
        </w:tc>
        <w:tc>
          <w:tcPr>
            <w:tcW w:w="2340" w:type="dxa"/>
            <w:tcBorders>
              <w:top w:val="single" w:sz="1" w:space="0" w:color="BFBFBF"/>
              <w:left w:val="single" w:sz="1" w:space="0" w:color="BFBFBF"/>
              <w:bottom w:val="single" w:sz="1" w:space="0" w:color="BFBFBF"/>
              <w:right w:val="single" w:sz="1" w:space="0" w:color="BFBFBF"/>
            </w:tcBorders>
            <w:shd w:val="clear" w:color="auto" w:fill="EBF3FB"/>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113</w:t>
            </w:r>
          </w:p>
        </w:tc>
        <w:tc>
          <w:tcPr>
            <w:tcW w:w="2340" w:type="dxa"/>
            <w:tcBorders>
              <w:top w:val="single" w:sz="1" w:space="0" w:color="BFBFBF"/>
              <w:left w:val="single" w:sz="1" w:space="0" w:color="BFBFBF"/>
              <w:bottom w:val="single" w:sz="1" w:space="0" w:color="BFBFBF"/>
              <w:right w:val="single" w:sz="1" w:space="0" w:color="BFBFBF"/>
            </w:tcBorders>
            <w:shd w:val="clear" w:color="auto" w:fill="EBF3FB"/>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3.851</w:t>
            </w:r>
          </w:p>
        </w:tc>
        <w:tc>
          <w:tcPr>
            <w:tcW w:w="2340" w:type="dxa"/>
            <w:tcBorders>
              <w:top w:val="single" w:sz="1" w:space="0" w:color="BFBFBF"/>
              <w:left w:val="single" w:sz="1" w:space="0" w:color="BFBFBF"/>
              <w:bottom w:val="single" w:sz="1" w:space="0" w:color="BFBFBF"/>
              <w:right w:val="single" w:sz="1" w:space="0" w:color="BFBFBF"/>
            </w:tcBorders>
            <w:shd w:val="clear" w:color="auto" w:fill="EBF3FB"/>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2,85%</w:t>
            </w:r>
          </w:p>
        </w:tc>
      </w:tr>
      <w:tr w:rsidR="00CC24B5" w:rsidRPr="00CC24B5" w:rsidTr="00CC24B5">
        <w:tc>
          <w:tcPr>
            <w:tcW w:w="2340" w:type="dxa"/>
            <w:tcBorders>
              <w:top w:val="single" w:sz="1" w:space="0" w:color="BFBFBF"/>
              <w:left w:val="single" w:sz="1" w:space="0" w:color="BFBFBF"/>
              <w:bottom w:val="single" w:sz="1" w:space="0" w:color="BFBFBF"/>
              <w:right w:val="single" w:sz="1" w:space="0" w:color="BFBFBF"/>
            </w:tcBorders>
            <w:shd w:val="clear" w:color="auto" w:fill="FFFFFF"/>
            <w:tcMar>
              <w:top w:w="60" w:type="dxa"/>
              <w:left w:w="120" w:type="dxa"/>
              <w:bottom w:w="60" w:type="dxa"/>
              <w:right w:w="120" w:type="dxa"/>
            </w:tcMar>
          </w:tcPr>
          <w:p w:rsidR="00CC24B5" w:rsidRPr="00CC24B5" w:rsidRDefault="00CC24B5" w:rsidP="00CC24B5">
            <w:pPr>
              <w:spacing w:before="40" w:after="40" w:line="240" w:lineRule="auto"/>
              <w:rPr>
                <w:rFonts w:ascii="Arial" w:eastAsia="Arial" w:hAnsi="Arial" w:cs="Arial"/>
              </w:rPr>
            </w:pPr>
            <w:r w:rsidRPr="00CC24B5">
              <w:rPr>
                <w:rFonts w:ascii="Calibri" w:eastAsia="Calibri" w:hAnsi="Calibri" w:cs="Calibri"/>
                <w:sz w:val="20"/>
                <w:szCs w:val="20"/>
              </w:rPr>
              <w:t>H7</w:t>
            </w:r>
          </w:p>
        </w:tc>
        <w:tc>
          <w:tcPr>
            <w:tcW w:w="2340" w:type="dxa"/>
            <w:tcBorders>
              <w:top w:val="single" w:sz="1" w:space="0" w:color="BFBFBF"/>
              <w:left w:val="single" w:sz="1" w:space="0" w:color="BFBFBF"/>
              <w:bottom w:val="single" w:sz="1" w:space="0" w:color="BFBFBF"/>
              <w:right w:val="single" w:sz="1" w:space="0" w:color="BFBFBF"/>
            </w:tcBorders>
            <w:shd w:val="clear" w:color="auto" w:fill="FFFFFF"/>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3</w:t>
            </w:r>
          </w:p>
        </w:tc>
        <w:tc>
          <w:tcPr>
            <w:tcW w:w="2340" w:type="dxa"/>
            <w:tcBorders>
              <w:top w:val="single" w:sz="1" w:space="0" w:color="BFBFBF"/>
              <w:left w:val="single" w:sz="1" w:space="0" w:color="BFBFBF"/>
              <w:bottom w:val="single" w:sz="1" w:space="0" w:color="BFBFBF"/>
              <w:right w:val="single" w:sz="1" w:space="0" w:color="BFBFBF"/>
            </w:tcBorders>
            <w:shd w:val="clear" w:color="auto" w:fill="FFFFFF"/>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3.961</w:t>
            </w:r>
          </w:p>
        </w:tc>
        <w:tc>
          <w:tcPr>
            <w:tcW w:w="2340" w:type="dxa"/>
            <w:tcBorders>
              <w:top w:val="single" w:sz="1" w:space="0" w:color="BFBFBF"/>
              <w:left w:val="single" w:sz="1" w:space="0" w:color="BFBFBF"/>
              <w:bottom w:val="single" w:sz="1" w:space="0" w:color="BFBFBF"/>
              <w:right w:val="single" w:sz="1" w:space="0" w:color="BFBFBF"/>
            </w:tcBorders>
            <w:shd w:val="clear" w:color="auto" w:fill="FFFFFF"/>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0,08%</w:t>
            </w:r>
          </w:p>
        </w:tc>
      </w:tr>
      <w:tr w:rsidR="00CC24B5" w:rsidRPr="00CC24B5" w:rsidTr="00CC24B5">
        <w:tc>
          <w:tcPr>
            <w:tcW w:w="2340" w:type="dxa"/>
            <w:tcBorders>
              <w:top w:val="single" w:sz="1" w:space="0" w:color="BFBFBF"/>
              <w:left w:val="single" w:sz="1" w:space="0" w:color="BFBFBF"/>
              <w:bottom w:val="single" w:sz="1" w:space="0" w:color="BFBFBF"/>
              <w:right w:val="single" w:sz="1" w:space="0" w:color="BFBFBF"/>
            </w:tcBorders>
            <w:shd w:val="clear" w:color="auto" w:fill="EBF3FB"/>
            <w:tcMar>
              <w:top w:w="60" w:type="dxa"/>
              <w:left w:w="120" w:type="dxa"/>
              <w:bottom w:w="60" w:type="dxa"/>
              <w:right w:w="120" w:type="dxa"/>
            </w:tcMar>
          </w:tcPr>
          <w:p w:rsidR="00CC24B5" w:rsidRPr="00CC24B5" w:rsidRDefault="00CC24B5" w:rsidP="00CC24B5">
            <w:pPr>
              <w:spacing w:before="40" w:after="40" w:line="240" w:lineRule="auto"/>
              <w:rPr>
                <w:rFonts w:ascii="Arial" w:eastAsia="Arial" w:hAnsi="Arial" w:cs="Arial"/>
              </w:rPr>
            </w:pPr>
            <w:r w:rsidRPr="00CC24B5">
              <w:rPr>
                <w:rFonts w:ascii="Calibri" w:eastAsia="Calibri" w:hAnsi="Calibri" w:cs="Calibri"/>
                <w:sz w:val="20"/>
                <w:szCs w:val="20"/>
              </w:rPr>
              <w:t>H8</w:t>
            </w:r>
          </w:p>
        </w:tc>
        <w:tc>
          <w:tcPr>
            <w:tcW w:w="2340" w:type="dxa"/>
            <w:tcBorders>
              <w:top w:val="single" w:sz="1" w:space="0" w:color="BFBFBF"/>
              <w:left w:val="single" w:sz="1" w:space="0" w:color="BFBFBF"/>
              <w:bottom w:val="single" w:sz="1" w:space="0" w:color="BFBFBF"/>
              <w:right w:val="single" w:sz="1" w:space="0" w:color="BFBFBF"/>
            </w:tcBorders>
            <w:shd w:val="clear" w:color="auto" w:fill="EBF3FB"/>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34</w:t>
            </w:r>
          </w:p>
        </w:tc>
        <w:tc>
          <w:tcPr>
            <w:tcW w:w="2340" w:type="dxa"/>
            <w:tcBorders>
              <w:top w:val="single" w:sz="1" w:space="0" w:color="BFBFBF"/>
              <w:left w:val="single" w:sz="1" w:space="0" w:color="BFBFBF"/>
              <w:bottom w:val="single" w:sz="1" w:space="0" w:color="BFBFBF"/>
              <w:right w:val="single" w:sz="1" w:space="0" w:color="BFBFBF"/>
            </w:tcBorders>
            <w:shd w:val="clear" w:color="auto" w:fill="EBF3FB"/>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3.930</w:t>
            </w:r>
          </w:p>
        </w:tc>
        <w:tc>
          <w:tcPr>
            <w:tcW w:w="2340" w:type="dxa"/>
            <w:tcBorders>
              <w:top w:val="single" w:sz="1" w:space="0" w:color="BFBFBF"/>
              <w:left w:val="single" w:sz="1" w:space="0" w:color="BFBFBF"/>
              <w:bottom w:val="single" w:sz="1" w:space="0" w:color="BFBFBF"/>
              <w:right w:val="single" w:sz="1" w:space="0" w:color="BFBFBF"/>
            </w:tcBorders>
            <w:shd w:val="clear" w:color="auto" w:fill="EBF3FB"/>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0,86%</w:t>
            </w:r>
          </w:p>
        </w:tc>
      </w:tr>
      <w:tr w:rsidR="00CC24B5" w:rsidRPr="00CC24B5" w:rsidTr="00CC24B5">
        <w:tc>
          <w:tcPr>
            <w:tcW w:w="2340" w:type="dxa"/>
            <w:tcBorders>
              <w:top w:val="single" w:sz="1" w:space="0" w:color="BFBFBF"/>
              <w:left w:val="single" w:sz="1" w:space="0" w:color="BFBFBF"/>
              <w:bottom w:val="single" w:sz="1" w:space="0" w:color="BFBFBF"/>
              <w:right w:val="single" w:sz="1" w:space="0" w:color="BFBFBF"/>
            </w:tcBorders>
            <w:shd w:val="clear" w:color="auto" w:fill="FFFFFF"/>
            <w:tcMar>
              <w:top w:w="60" w:type="dxa"/>
              <w:left w:w="120" w:type="dxa"/>
              <w:bottom w:w="60" w:type="dxa"/>
              <w:right w:w="120" w:type="dxa"/>
            </w:tcMar>
          </w:tcPr>
          <w:p w:rsidR="00CC24B5" w:rsidRPr="00CC24B5" w:rsidRDefault="00CC24B5" w:rsidP="00CC24B5">
            <w:pPr>
              <w:spacing w:before="40" w:after="40" w:line="240" w:lineRule="auto"/>
              <w:rPr>
                <w:rFonts w:ascii="Arial" w:eastAsia="Arial" w:hAnsi="Arial" w:cs="Arial"/>
              </w:rPr>
            </w:pPr>
            <w:r w:rsidRPr="00CC24B5">
              <w:rPr>
                <w:rFonts w:ascii="Calibri" w:eastAsia="Calibri" w:hAnsi="Calibri" w:cs="Calibri"/>
                <w:sz w:val="20"/>
                <w:szCs w:val="20"/>
              </w:rPr>
              <w:t>H9</w:t>
            </w:r>
          </w:p>
        </w:tc>
        <w:tc>
          <w:tcPr>
            <w:tcW w:w="2340" w:type="dxa"/>
            <w:tcBorders>
              <w:top w:val="single" w:sz="1" w:space="0" w:color="BFBFBF"/>
              <w:left w:val="single" w:sz="1" w:space="0" w:color="BFBFBF"/>
              <w:bottom w:val="single" w:sz="1" w:space="0" w:color="BFBFBF"/>
              <w:right w:val="single" w:sz="1" w:space="0" w:color="BFBFBF"/>
            </w:tcBorders>
            <w:shd w:val="clear" w:color="auto" w:fill="FFFFFF"/>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20</w:t>
            </w:r>
          </w:p>
        </w:tc>
        <w:tc>
          <w:tcPr>
            <w:tcW w:w="2340" w:type="dxa"/>
            <w:tcBorders>
              <w:top w:val="single" w:sz="1" w:space="0" w:color="BFBFBF"/>
              <w:left w:val="single" w:sz="1" w:space="0" w:color="BFBFBF"/>
              <w:bottom w:val="single" w:sz="1" w:space="0" w:color="BFBFBF"/>
              <w:right w:val="single" w:sz="1" w:space="0" w:color="BFBFBF"/>
            </w:tcBorders>
            <w:shd w:val="clear" w:color="auto" w:fill="FFFFFF"/>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3.944</w:t>
            </w:r>
          </w:p>
        </w:tc>
        <w:tc>
          <w:tcPr>
            <w:tcW w:w="2340" w:type="dxa"/>
            <w:tcBorders>
              <w:top w:val="single" w:sz="1" w:space="0" w:color="BFBFBF"/>
              <w:left w:val="single" w:sz="1" w:space="0" w:color="BFBFBF"/>
              <w:bottom w:val="single" w:sz="1" w:space="0" w:color="BFBFBF"/>
              <w:right w:val="single" w:sz="1" w:space="0" w:color="BFBFBF"/>
            </w:tcBorders>
            <w:shd w:val="clear" w:color="auto" w:fill="FFFFFF"/>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0,50%</w:t>
            </w:r>
          </w:p>
        </w:tc>
      </w:tr>
      <w:tr w:rsidR="00CC24B5" w:rsidRPr="00CC24B5" w:rsidTr="00CC24B5">
        <w:tc>
          <w:tcPr>
            <w:tcW w:w="2340" w:type="dxa"/>
            <w:tcBorders>
              <w:top w:val="single" w:sz="1" w:space="0" w:color="BFBFBF"/>
              <w:left w:val="single" w:sz="1" w:space="0" w:color="BFBFBF"/>
              <w:bottom w:val="single" w:sz="1" w:space="0" w:color="BFBFBF"/>
              <w:right w:val="single" w:sz="1" w:space="0" w:color="BFBFBF"/>
            </w:tcBorders>
            <w:shd w:val="clear" w:color="auto" w:fill="EBF3FB"/>
            <w:tcMar>
              <w:top w:w="60" w:type="dxa"/>
              <w:left w:w="120" w:type="dxa"/>
              <w:bottom w:w="60" w:type="dxa"/>
              <w:right w:w="120" w:type="dxa"/>
            </w:tcMar>
          </w:tcPr>
          <w:p w:rsidR="00CC24B5" w:rsidRPr="00CC24B5" w:rsidRDefault="00CC24B5" w:rsidP="00CC24B5">
            <w:pPr>
              <w:spacing w:before="40" w:after="40" w:line="240" w:lineRule="auto"/>
              <w:rPr>
                <w:rFonts w:ascii="Arial" w:eastAsia="Arial" w:hAnsi="Arial" w:cs="Arial"/>
              </w:rPr>
            </w:pPr>
            <w:r w:rsidRPr="00CC24B5">
              <w:rPr>
                <w:rFonts w:ascii="Calibri" w:eastAsia="Calibri" w:hAnsi="Calibri" w:cs="Calibri"/>
                <w:sz w:val="20"/>
                <w:szCs w:val="20"/>
              </w:rPr>
              <w:t>H10</w:t>
            </w:r>
          </w:p>
        </w:tc>
        <w:tc>
          <w:tcPr>
            <w:tcW w:w="2340" w:type="dxa"/>
            <w:tcBorders>
              <w:top w:val="single" w:sz="1" w:space="0" w:color="BFBFBF"/>
              <w:left w:val="single" w:sz="1" w:space="0" w:color="BFBFBF"/>
              <w:bottom w:val="single" w:sz="1" w:space="0" w:color="BFBFBF"/>
              <w:right w:val="single" w:sz="1" w:space="0" w:color="BFBFBF"/>
            </w:tcBorders>
            <w:shd w:val="clear" w:color="auto" w:fill="EBF3FB"/>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34</w:t>
            </w:r>
          </w:p>
        </w:tc>
        <w:tc>
          <w:tcPr>
            <w:tcW w:w="2340" w:type="dxa"/>
            <w:tcBorders>
              <w:top w:val="single" w:sz="1" w:space="0" w:color="BFBFBF"/>
              <w:left w:val="single" w:sz="1" w:space="0" w:color="BFBFBF"/>
              <w:bottom w:val="single" w:sz="1" w:space="0" w:color="BFBFBF"/>
              <w:right w:val="single" w:sz="1" w:space="0" w:color="BFBFBF"/>
            </w:tcBorders>
            <w:shd w:val="clear" w:color="auto" w:fill="EBF3FB"/>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3.930</w:t>
            </w:r>
          </w:p>
        </w:tc>
        <w:tc>
          <w:tcPr>
            <w:tcW w:w="2340" w:type="dxa"/>
            <w:tcBorders>
              <w:top w:val="single" w:sz="1" w:space="0" w:color="BFBFBF"/>
              <w:left w:val="single" w:sz="1" w:space="0" w:color="BFBFBF"/>
              <w:bottom w:val="single" w:sz="1" w:space="0" w:color="BFBFBF"/>
              <w:right w:val="single" w:sz="1" w:space="0" w:color="BFBFBF"/>
            </w:tcBorders>
            <w:shd w:val="clear" w:color="auto" w:fill="EBF3FB"/>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0,86%</w:t>
            </w:r>
          </w:p>
        </w:tc>
      </w:tr>
      <w:tr w:rsidR="00CC24B5" w:rsidRPr="00CC24B5" w:rsidTr="00CC24B5">
        <w:tc>
          <w:tcPr>
            <w:tcW w:w="2340" w:type="dxa"/>
            <w:tcBorders>
              <w:top w:val="single" w:sz="1" w:space="0" w:color="BFBFBF"/>
              <w:left w:val="single" w:sz="1" w:space="0" w:color="BFBFBF"/>
              <w:bottom w:val="single" w:sz="1" w:space="0" w:color="BFBFBF"/>
              <w:right w:val="single" w:sz="1" w:space="0" w:color="BFBFBF"/>
            </w:tcBorders>
            <w:shd w:val="clear" w:color="auto" w:fill="FFFFFF"/>
            <w:tcMar>
              <w:top w:w="60" w:type="dxa"/>
              <w:left w:w="120" w:type="dxa"/>
              <w:bottom w:w="60" w:type="dxa"/>
              <w:right w:w="120" w:type="dxa"/>
            </w:tcMar>
          </w:tcPr>
          <w:p w:rsidR="00CC24B5" w:rsidRPr="00CC24B5" w:rsidRDefault="00CC24B5" w:rsidP="00CC24B5">
            <w:pPr>
              <w:spacing w:before="40" w:after="40" w:line="240" w:lineRule="auto"/>
              <w:rPr>
                <w:rFonts w:ascii="Arial" w:eastAsia="Arial" w:hAnsi="Arial" w:cs="Arial"/>
              </w:rPr>
            </w:pPr>
            <w:r w:rsidRPr="00CC24B5">
              <w:rPr>
                <w:rFonts w:ascii="Calibri" w:eastAsia="Calibri" w:hAnsi="Calibri" w:cs="Calibri"/>
                <w:sz w:val="20"/>
                <w:szCs w:val="20"/>
              </w:rPr>
              <w:t>H11</w:t>
            </w:r>
          </w:p>
        </w:tc>
        <w:tc>
          <w:tcPr>
            <w:tcW w:w="2340" w:type="dxa"/>
            <w:tcBorders>
              <w:top w:val="single" w:sz="1" w:space="0" w:color="BFBFBF"/>
              <w:left w:val="single" w:sz="1" w:space="0" w:color="BFBFBF"/>
              <w:bottom w:val="single" w:sz="1" w:space="0" w:color="BFBFBF"/>
              <w:right w:val="single" w:sz="1" w:space="0" w:color="BFBFBF"/>
            </w:tcBorders>
            <w:shd w:val="clear" w:color="auto" w:fill="FFFFFF"/>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2</w:t>
            </w:r>
          </w:p>
        </w:tc>
        <w:tc>
          <w:tcPr>
            <w:tcW w:w="2340" w:type="dxa"/>
            <w:tcBorders>
              <w:top w:val="single" w:sz="1" w:space="0" w:color="BFBFBF"/>
              <w:left w:val="single" w:sz="1" w:space="0" w:color="BFBFBF"/>
              <w:bottom w:val="single" w:sz="1" w:space="0" w:color="BFBFBF"/>
              <w:right w:val="single" w:sz="1" w:space="0" w:color="BFBFBF"/>
            </w:tcBorders>
            <w:shd w:val="clear" w:color="auto" w:fill="FFFFFF"/>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3.962</w:t>
            </w:r>
          </w:p>
        </w:tc>
        <w:tc>
          <w:tcPr>
            <w:tcW w:w="2340" w:type="dxa"/>
            <w:tcBorders>
              <w:top w:val="single" w:sz="1" w:space="0" w:color="BFBFBF"/>
              <w:left w:val="single" w:sz="1" w:space="0" w:color="BFBFBF"/>
              <w:bottom w:val="single" w:sz="1" w:space="0" w:color="BFBFBF"/>
              <w:right w:val="single" w:sz="1" w:space="0" w:color="BFBFBF"/>
            </w:tcBorders>
            <w:shd w:val="clear" w:color="auto" w:fill="FFFFFF"/>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0,05%</w:t>
            </w:r>
          </w:p>
        </w:tc>
      </w:tr>
      <w:tr w:rsidR="00CC24B5" w:rsidRPr="00CC24B5" w:rsidTr="00CC24B5">
        <w:tc>
          <w:tcPr>
            <w:tcW w:w="2340" w:type="dxa"/>
            <w:tcBorders>
              <w:top w:val="single" w:sz="1" w:space="0" w:color="BFBFBF"/>
              <w:left w:val="single" w:sz="1" w:space="0" w:color="BFBFBF"/>
              <w:bottom w:val="single" w:sz="1" w:space="0" w:color="BFBFBF"/>
              <w:right w:val="single" w:sz="1" w:space="0" w:color="BFBFBF"/>
            </w:tcBorders>
            <w:shd w:val="clear" w:color="auto" w:fill="EBF3FB"/>
            <w:tcMar>
              <w:top w:w="60" w:type="dxa"/>
              <w:left w:w="120" w:type="dxa"/>
              <w:bottom w:w="60" w:type="dxa"/>
              <w:right w:w="120" w:type="dxa"/>
            </w:tcMar>
          </w:tcPr>
          <w:p w:rsidR="00CC24B5" w:rsidRPr="00CC24B5" w:rsidRDefault="00CC24B5" w:rsidP="00CC24B5">
            <w:pPr>
              <w:spacing w:before="40" w:after="40" w:line="240" w:lineRule="auto"/>
              <w:rPr>
                <w:rFonts w:ascii="Arial" w:eastAsia="Arial" w:hAnsi="Arial" w:cs="Arial"/>
              </w:rPr>
            </w:pPr>
            <w:r w:rsidRPr="00CC24B5">
              <w:rPr>
                <w:rFonts w:ascii="Calibri" w:eastAsia="Calibri" w:hAnsi="Calibri" w:cs="Calibri"/>
                <w:sz w:val="20"/>
                <w:szCs w:val="20"/>
              </w:rPr>
              <w:t>H12</w:t>
            </w:r>
          </w:p>
        </w:tc>
        <w:tc>
          <w:tcPr>
            <w:tcW w:w="2340" w:type="dxa"/>
            <w:tcBorders>
              <w:top w:val="single" w:sz="1" w:space="0" w:color="BFBFBF"/>
              <w:left w:val="single" w:sz="1" w:space="0" w:color="BFBFBF"/>
              <w:bottom w:val="single" w:sz="1" w:space="0" w:color="BFBFBF"/>
              <w:right w:val="single" w:sz="1" w:space="0" w:color="BFBFBF"/>
            </w:tcBorders>
            <w:shd w:val="clear" w:color="auto" w:fill="EBF3FB"/>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31</w:t>
            </w:r>
          </w:p>
        </w:tc>
        <w:tc>
          <w:tcPr>
            <w:tcW w:w="2340" w:type="dxa"/>
            <w:tcBorders>
              <w:top w:val="single" w:sz="1" w:space="0" w:color="BFBFBF"/>
              <w:left w:val="single" w:sz="1" w:space="0" w:color="BFBFBF"/>
              <w:bottom w:val="single" w:sz="1" w:space="0" w:color="BFBFBF"/>
              <w:right w:val="single" w:sz="1" w:space="0" w:color="BFBFBF"/>
            </w:tcBorders>
            <w:shd w:val="clear" w:color="auto" w:fill="EBF3FB"/>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3.933</w:t>
            </w:r>
          </w:p>
        </w:tc>
        <w:tc>
          <w:tcPr>
            <w:tcW w:w="2340" w:type="dxa"/>
            <w:tcBorders>
              <w:top w:val="single" w:sz="1" w:space="0" w:color="BFBFBF"/>
              <w:left w:val="single" w:sz="1" w:space="0" w:color="BFBFBF"/>
              <w:bottom w:val="single" w:sz="1" w:space="0" w:color="BFBFBF"/>
              <w:right w:val="single" w:sz="1" w:space="0" w:color="BFBFBF"/>
            </w:tcBorders>
            <w:shd w:val="clear" w:color="auto" w:fill="EBF3FB"/>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0,78%</w:t>
            </w:r>
          </w:p>
        </w:tc>
      </w:tr>
      <w:tr w:rsidR="00CC24B5" w:rsidRPr="00CC24B5" w:rsidTr="00CC24B5">
        <w:tc>
          <w:tcPr>
            <w:tcW w:w="2340" w:type="dxa"/>
            <w:tcBorders>
              <w:top w:val="single" w:sz="1" w:space="0" w:color="BFBFBF"/>
              <w:left w:val="single" w:sz="1" w:space="0" w:color="BFBFBF"/>
              <w:bottom w:val="single" w:sz="1" w:space="0" w:color="BFBFBF"/>
              <w:right w:val="single" w:sz="1" w:space="0" w:color="BFBFBF"/>
            </w:tcBorders>
            <w:shd w:val="clear" w:color="auto" w:fill="FFFFFF"/>
            <w:tcMar>
              <w:top w:w="60" w:type="dxa"/>
              <w:left w:w="120" w:type="dxa"/>
              <w:bottom w:w="60" w:type="dxa"/>
              <w:right w:w="120" w:type="dxa"/>
            </w:tcMar>
          </w:tcPr>
          <w:p w:rsidR="00CC24B5" w:rsidRPr="00CC24B5" w:rsidRDefault="00CC24B5" w:rsidP="00CC24B5">
            <w:pPr>
              <w:spacing w:before="40" w:after="40" w:line="240" w:lineRule="auto"/>
              <w:rPr>
                <w:rFonts w:ascii="Arial" w:eastAsia="Arial" w:hAnsi="Arial" w:cs="Arial"/>
              </w:rPr>
            </w:pPr>
            <w:r w:rsidRPr="00CC24B5">
              <w:rPr>
                <w:rFonts w:ascii="Calibri" w:eastAsia="Calibri" w:hAnsi="Calibri" w:cs="Calibri"/>
                <w:sz w:val="20"/>
                <w:szCs w:val="20"/>
              </w:rPr>
              <w:lastRenderedPageBreak/>
              <w:t>H13</w:t>
            </w:r>
          </w:p>
        </w:tc>
        <w:tc>
          <w:tcPr>
            <w:tcW w:w="2340" w:type="dxa"/>
            <w:tcBorders>
              <w:top w:val="single" w:sz="1" w:space="0" w:color="BFBFBF"/>
              <w:left w:val="single" w:sz="1" w:space="0" w:color="BFBFBF"/>
              <w:bottom w:val="single" w:sz="1" w:space="0" w:color="BFBFBF"/>
              <w:right w:val="single" w:sz="1" w:space="0" w:color="BFBFBF"/>
            </w:tcBorders>
            <w:shd w:val="clear" w:color="auto" w:fill="FFFFFF"/>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1</w:t>
            </w:r>
          </w:p>
        </w:tc>
        <w:tc>
          <w:tcPr>
            <w:tcW w:w="2340" w:type="dxa"/>
            <w:tcBorders>
              <w:top w:val="single" w:sz="1" w:space="0" w:color="BFBFBF"/>
              <w:left w:val="single" w:sz="1" w:space="0" w:color="BFBFBF"/>
              <w:bottom w:val="single" w:sz="1" w:space="0" w:color="BFBFBF"/>
              <w:right w:val="single" w:sz="1" w:space="0" w:color="BFBFBF"/>
            </w:tcBorders>
            <w:shd w:val="clear" w:color="auto" w:fill="FFFFFF"/>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3.963</w:t>
            </w:r>
          </w:p>
        </w:tc>
        <w:tc>
          <w:tcPr>
            <w:tcW w:w="2340" w:type="dxa"/>
            <w:tcBorders>
              <w:top w:val="single" w:sz="1" w:space="0" w:color="BFBFBF"/>
              <w:left w:val="single" w:sz="1" w:space="0" w:color="BFBFBF"/>
              <w:bottom w:val="single" w:sz="1" w:space="0" w:color="BFBFBF"/>
              <w:right w:val="single" w:sz="1" w:space="0" w:color="BFBFBF"/>
            </w:tcBorders>
            <w:shd w:val="clear" w:color="auto" w:fill="FFFFFF"/>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0,03%</w:t>
            </w:r>
          </w:p>
        </w:tc>
      </w:tr>
      <w:tr w:rsidR="00CC24B5" w:rsidRPr="00CC24B5" w:rsidTr="00CC24B5">
        <w:tc>
          <w:tcPr>
            <w:tcW w:w="2340" w:type="dxa"/>
            <w:tcBorders>
              <w:top w:val="single" w:sz="1" w:space="0" w:color="BFBFBF"/>
              <w:left w:val="single" w:sz="1" w:space="0" w:color="BFBFBF"/>
              <w:bottom w:val="single" w:sz="1" w:space="0" w:color="BFBFBF"/>
              <w:right w:val="single" w:sz="1" w:space="0" w:color="BFBFBF"/>
            </w:tcBorders>
            <w:shd w:val="clear" w:color="auto" w:fill="EBF3FB"/>
            <w:tcMar>
              <w:top w:w="60" w:type="dxa"/>
              <w:left w:w="120" w:type="dxa"/>
              <w:bottom w:w="60" w:type="dxa"/>
              <w:right w:w="120" w:type="dxa"/>
            </w:tcMar>
          </w:tcPr>
          <w:p w:rsidR="00CC24B5" w:rsidRPr="00CC24B5" w:rsidRDefault="00CC24B5" w:rsidP="00CC24B5">
            <w:pPr>
              <w:spacing w:before="40" w:after="40" w:line="240" w:lineRule="auto"/>
              <w:rPr>
                <w:rFonts w:ascii="Arial" w:eastAsia="Arial" w:hAnsi="Arial" w:cs="Arial"/>
              </w:rPr>
            </w:pPr>
            <w:r w:rsidRPr="00CC24B5">
              <w:rPr>
                <w:rFonts w:ascii="Calibri" w:eastAsia="Calibri" w:hAnsi="Calibri" w:cs="Calibri"/>
                <w:sz w:val="20"/>
                <w:szCs w:val="20"/>
              </w:rPr>
              <w:t>H14</w:t>
            </w:r>
          </w:p>
        </w:tc>
        <w:tc>
          <w:tcPr>
            <w:tcW w:w="2340" w:type="dxa"/>
            <w:tcBorders>
              <w:top w:val="single" w:sz="1" w:space="0" w:color="BFBFBF"/>
              <w:left w:val="single" w:sz="1" w:space="0" w:color="BFBFBF"/>
              <w:bottom w:val="single" w:sz="1" w:space="0" w:color="BFBFBF"/>
              <w:right w:val="single" w:sz="1" w:space="0" w:color="BFBFBF"/>
            </w:tcBorders>
            <w:shd w:val="clear" w:color="auto" w:fill="EBF3FB"/>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25</w:t>
            </w:r>
          </w:p>
        </w:tc>
        <w:tc>
          <w:tcPr>
            <w:tcW w:w="2340" w:type="dxa"/>
            <w:tcBorders>
              <w:top w:val="single" w:sz="1" w:space="0" w:color="BFBFBF"/>
              <w:left w:val="single" w:sz="1" w:space="0" w:color="BFBFBF"/>
              <w:bottom w:val="single" w:sz="1" w:space="0" w:color="BFBFBF"/>
              <w:right w:val="single" w:sz="1" w:space="0" w:color="BFBFBF"/>
            </w:tcBorders>
            <w:shd w:val="clear" w:color="auto" w:fill="EBF3FB"/>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3.939</w:t>
            </w:r>
          </w:p>
        </w:tc>
        <w:tc>
          <w:tcPr>
            <w:tcW w:w="2340" w:type="dxa"/>
            <w:tcBorders>
              <w:top w:val="single" w:sz="1" w:space="0" w:color="BFBFBF"/>
              <w:left w:val="single" w:sz="1" w:space="0" w:color="BFBFBF"/>
              <w:bottom w:val="single" w:sz="1" w:space="0" w:color="BFBFBF"/>
              <w:right w:val="single" w:sz="1" w:space="0" w:color="BFBFBF"/>
            </w:tcBorders>
            <w:shd w:val="clear" w:color="auto" w:fill="EBF3FB"/>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0,63%</w:t>
            </w:r>
          </w:p>
        </w:tc>
      </w:tr>
      <w:tr w:rsidR="00CC24B5" w:rsidRPr="00CC24B5" w:rsidTr="00CC24B5">
        <w:tc>
          <w:tcPr>
            <w:tcW w:w="2340" w:type="dxa"/>
            <w:tcBorders>
              <w:top w:val="single" w:sz="1" w:space="0" w:color="BFBFBF"/>
              <w:left w:val="single" w:sz="1" w:space="0" w:color="BFBFBF"/>
              <w:bottom w:val="single" w:sz="1" w:space="0" w:color="BFBFBF"/>
              <w:right w:val="single" w:sz="1" w:space="0" w:color="BFBFBF"/>
            </w:tcBorders>
            <w:shd w:val="clear" w:color="auto" w:fill="FFFFFF"/>
            <w:tcMar>
              <w:top w:w="60" w:type="dxa"/>
              <w:left w:w="120" w:type="dxa"/>
              <w:bottom w:w="60" w:type="dxa"/>
              <w:right w:w="120" w:type="dxa"/>
            </w:tcMar>
          </w:tcPr>
          <w:p w:rsidR="00CC24B5" w:rsidRPr="00CC24B5" w:rsidRDefault="00CC24B5" w:rsidP="00CC24B5">
            <w:pPr>
              <w:spacing w:before="40" w:after="40" w:line="240" w:lineRule="auto"/>
              <w:rPr>
                <w:rFonts w:ascii="Arial" w:eastAsia="Arial" w:hAnsi="Arial" w:cs="Arial"/>
              </w:rPr>
            </w:pPr>
            <w:r w:rsidRPr="00CC24B5">
              <w:rPr>
                <w:rFonts w:ascii="Calibri" w:eastAsia="Calibri" w:hAnsi="Calibri" w:cs="Calibri"/>
                <w:sz w:val="20"/>
                <w:szCs w:val="20"/>
              </w:rPr>
              <w:t>H15</w:t>
            </w:r>
          </w:p>
        </w:tc>
        <w:tc>
          <w:tcPr>
            <w:tcW w:w="2340" w:type="dxa"/>
            <w:tcBorders>
              <w:top w:val="single" w:sz="1" w:space="0" w:color="BFBFBF"/>
              <w:left w:val="single" w:sz="1" w:space="0" w:color="BFBFBF"/>
              <w:bottom w:val="single" w:sz="1" w:space="0" w:color="BFBFBF"/>
              <w:right w:val="single" w:sz="1" w:space="0" w:color="BFBFBF"/>
            </w:tcBorders>
            <w:shd w:val="clear" w:color="auto" w:fill="FFFFFF"/>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3</w:t>
            </w:r>
          </w:p>
        </w:tc>
        <w:tc>
          <w:tcPr>
            <w:tcW w:w="2340" w:type="dxa"/>
            <w:tcBorders>
              <w:top w:val="single" w:sz="1" w:space="0" w:color="BFBFBF"/>
              <w:left w:val="single" w:sz="1" w:space="0" w:color="BFBFBF"/>
              <w:bottom w:val="single" w:sz="1" w:space="0" w:color="BFBFBF"/>
              <w:right w:val="single" w:sz="1" w:space="0" w:color="BFBFBF"/>
            </w:tcBorders>
            <w:shd w:val="clear" w:color="auto" w:fill="FFFFFF"/>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3.961</w:t>
            </w:r>
          </w:p>
        </w:tc>
        <w:tc>
          <w:tcPr>
            <w:tcW w:w="2340" w:type="dxa"/>
            <w:tcBorders>
              <w:top w:val="single" w:sz="1" w:space="0" w:color="BFBFBF"/>
              <w:left w:val="single" w:sz="1" w:space="0" w:color="BFBFBF"/>
              <w:bottom w:val="single" w:sz="1" w:space="0" w:color="BFBFBF"/>
              <w:right w:val="single" w:sz="1" w:space="0" w:color="BFBFBF"/>
            </w:tcBorders>
            <w:shd w:val="clear" w:color="auto" w:fill="FFFFFF"/>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0,08%</w:t>
            </w:r>
          </w:p>
        </w:tc>
      </w:tr>
      <w:tr w:rsidR="00CC24B5" w:rsidRPr="00CC24B5" w:rsidTr="00CC24B5">
        <w:tc>
          <w:tcPr>
            <w:tcW w:w="2340" w:type="dxa"/>
            <w:tcBorders>
              <w:top w:val="single" w:sz="1" w:space="0" w:color="BFBFBF"/>
              <w:left w:val="single" w:sz="1" w:space="0" w:color="BFBFBF"/>
              <w:bottom w:val="single" w:sz="1" w:space="0" w:color="BFBFBF"/>
              <w:right w:val="single" w:sz="1" w:space="0" w:color="BFBFBF"/>
            </w:tcBorders>
            <w:shd w:val="clear" w:color="auto" w:fill="EBF3FB"/>
            <w:tcMar>
              <w:top w:w="60" w:type="dxa"/>
              <w:left w:w="120" w:type="dxa"/>
              <w:bottom w:w="60" w:type="dxa"/>
              <w:right w:w="120" w:type="dxa"/>
            </w:tcMar>
          </w:tcPr>
          <w:p w:rsidR="00CC24B5" w:rsidRPr="00CC24B5" w:rsidRDefault="00CC24B5" w:rsidP="00CC24B5">
            <w:pPr>
              <w:spacing w:before="40" w:after="40" w:line="240" w:lineRule="auto"/>
              <w:rPr>
                <w:rFonts w:ascii="Arial" w:eastAsia="Arial" w:hAnsi="Arial" w:cs="Arial"/>
              </w:rPr>
            </w:pPr>
            <w:r w:rsidRPr="00CC24B5">
              <w:rPr>
                <w:rFonts w:ascii="Calibri" w:eastAsia="Calibri" w:hAnsi="Calibri" w:cs="Calibri"/>
                <w:sz w:val="20"/>
                <w:szCs w:val="20"/>
              </w:rPr>
              <w:t>H16</w:t>
            </w:r>
          </w:p>
        </w:tc>
        <w:tc>
          <w:tcPr>
            <w:tcW w:w="2340" w:type="dxa"/>
            <w:tcBorders>
              <w:top w:val="single" w:sz="1" w:space="0" w:color="BFBFBF"/>
              <w:left w:val="single" w:sz="1" w:space="0" w:color="BFBFBF"/>
              <w:bottom w:val="single" w:sz="1" w:space="0" w:color="BFBFBF"/>
              <w:right w:val="single" w:sz="1" w:space="0" w:color="BFBFBF"/>
            </w:tcBorders>
            <w:shd w:val="clear" w:color="auto" w:fill="EBF3FB"/>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18</w:t>
            </w:r>
          </w:p>
        </w:tc>
        <w:tc>
          <w:tcPr>
            <w:tcW w:w="2340" w:type="dxa"/>
            <w:tcBorders>
              <w:top w:val="single" w:sz="1" w:space="0" w:color="BFBFBF"/>
              <w:left w:val="single" w:sz="1" w:space="0" w:color="BFBFBF"/>
              <w:bottom w:val="single" w:sz="1" w:space="0" w:color="BFBFBF"/>
              <w:right w:val="single" w:sz="1" w:space="0" w:color="BFBFBF"/>
            </w:tcBorders>
            <w:shd w:val="clear" w:color="auto" w:fill="EBF3FB"/>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3.946</w:t>
            </w:r>
          </w:p>
        </w:tc>
        <w:tc>
          <w:tcPr>
            <w:tcW w:w="2340" w:type="dxa"/>
            <w:tcBorders>
              <w:top w:val="single" w:sz="1" w:space="0" w:color="BFBFBF"/>
              <w:left w:val="single" w:sz="1" w:space="0" w:color="BFBFBF"/>
              <w:bottom w:val="single" w:sz="1" w:space="0" w:color="BFBFBF"/>
              <w:right w:val="single" w:sz="1" w:space="0" w:color="BFBFBF"/>
            </w:tcBorders>
            <w:shd w:val="clear" w:color="auto" w:fill="EBF3FB"/>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0,45%</w:t>
            </w:r>
          </w:p>
        </w:tc>
      </w:tr>
      <w:tr w:rsidR="00CC24B5" w:rsidRPr="00CC24B5" w:rsidTr="00CC24B5">
        <w:tc>
          <w:tcPr>
            <w:tcW w:w="2340" w:type="dxa"/>
            <w:tcBorders>
              <w:top w:val="single" w:sz="1" w:space="0" w:color="BFBFBF"/>
              <w:left w:val="single" w:sz="1" w:space="0" w:color="BFBFBF"/>
              <w:bottom w:val="single" w:sz="1" w:space="0" w:color="BFBFBF"/>
              <w:right w:val="single" w:sz="1" w:space="0" w:color="BFBFBF"/>
            </w:tcBorders>
            <w:shd w:val="clear" w:color="auto" w:fill="FFFFFF"/>
            <w:tcMar>
              <w:top w:w="60" w:type="dxa"/>
              <w:left w:w="120" w:type="dxa"/>
              <w:bottom w:w="60" w:type="dxa"/>
              <w:right w:w="120" w:type="dxa"/>
            </w:tcMar>
          </w:tcPr>
          <w:p w:rsidR="00CC24B5" w:rsidRPr="00CC24B5" w:rsidRDefault="00CC24B5" w:rsidP="00CC24B5">
            <w:pPr>
              <w:spacing w:before="40" w:after="40" w:line="240" w:lineRule="auto"/>
              <w:rPr>
                <w:rFonts w:ascii="Arial" w:eastAsia="Arial" w:hAnsi="Arial" w:cs="Arial"/>
              </w:rPr>
            </w:pPr>
            <w:r w:rsidRPr="00CC24B5">
              <w:rPr>
                <w:rFonts w:ascii="Calibri" w:eastAsia="Calibri" w:hAnsi="Calibri" w:cs="Calibri"/>
                <w:sz w:val="20"/>
                <w:szCs w:val="20"/>
              </w:rPr>
              <w:t>H17</w:t>
            </w:r>
          </w:p>
        </w:tc>
        <w:tc>
          <w:tcPr>
            <w:tcW w:w="2340" w:type="dxa"/>
            <w:tcBorders>
              <w:top w:val="single" w:sz="1" w:space="0" w:color="BFBFBF"/>
              <w:left w:val="single" w:sz="1" w:space="0" w:color="BFBFBF"/>
              <w:bottom w:val="single" w:sz="1" w:space="0" w:color="BFBFBF"/>
              <w:right w:val="single" w:sz="1" w:space="0" w:color="BFBFBF"/>
            </w:tcBorders>
            <w:shd w:val="clear" w:color="auto" w:fill="FFFFFF"/>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3</w:t>
            </w:r>
          </w:p>
        </w:tc>
        <w:tc>
          <w:tcPr>
            <w:tcW w:w="2340" w:type="dxa"/>
            <w:tcBorders>
              <w:top w:val="single" w:sz="1" w:space="0" w:color="BFBFBF"/>
              <w:left w:val="single" w:sz="1" w:space="0" w:color="BFBFBF"/>
              <w:bottom w:val="single" w:sz="1" w:space="0" w:color="BFBFBF"/>
              <w:right w:val="single" w:sz="1" w:space="0" w:color="BFBFBF"/>
            </w:tcBorders>
            <w:shd w:val="clear" w:color="auto" w:fill="FFFFFF"/>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3.961</w:t>
            </w:r>
          </w:p>
        </w:tc>
        <w:tc>
          <w:tcPr>
            <w:tcW w:w="2340" w:type="dxa"/>
            <w:tcBorders>
              <w:top w:val="single" w:sz="1" w:space="0" w:color="BFBFBF"/>
              <w:left w:val="single" w:sz="1" w:space="0" w:color="BFBFBF"/>
              <w:bottom w:val="single" w:sz="1" w:space="0" w:color="BFBFBF"/>
              <w:right w:val="single" w:sz="1" w:space="0" w:color="BFBFBF"/>
            </w:tcBorders>
            <w:shd w:val="clear" w:color="auto" w:fill="FFFFFF"/>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0,08%</w:t>
            </w:r>
          </w:p>
        </w:tc>
      </w:tr>
      <w:tr w:rsidR="00CC24B5" w:rsidRPr="00CC24B5" w:rsidTr="00CC24B5">
        <w:tc>
          <w:tcPr>
            <w:tcW w:w="2340" w:type="dxa"/>
            <w:tcBorders>
              <w:top w:val="single" w:sz="1" w:space="0" w:color="BFBFBF"/>
              <w:left w:val="single" w:sz="1" w:space="0" w:color="BFBFBF"/>
              <w:bottom w:val="single" w:sz="1" w:space="0" w:color="BFBFBF"/>
              <w:right w:val="single" w:sz="1" w:space="0" w:color="BFBFBF"/>
            </w:tcBorders>
            <w:shd w:val="clear" w:color="auto" w:fill="EBF3FB"/>
            <w:tcMar>
              <w:top w:w="60" w:type="dxa"/>
              <w:left w:w="120" w:type="dxa"/>
              <w:bottom w:w="60" w:type="dxa"/>
              <w:right w:w="120" w:type="dxa"/>
            </w:tcMar>
          </w:tcPr>
          <w:p w:rsidR="00CC24B5" w:rsidRPr="00CC24B5" w:rsidRDefault="00CC24B5" w:rsidP="00CC24B5">
            <w:pPr>
              <w:spacing w:before="40" w:after="40" w:line="240" w:lineRule="auto"/>
              <w:rPr>
                <w:rFonts w:ascii="Arial" w:eastAsia="Arial" w:hAnsi="Arial" w:cs="Arial"/>
              </w:rPr>
            </w:pPr>
            <w:r w:rsidRPr="00CC24B5">
              <w:rPr>
                <w:rFonts w:ascii="Calibri" w:eastAsia="Calibri" w:hAnsi="Calibri" w:cs="Calibri"/>
                <w:sz w:val="20"/>
                <w:szCs w:val="20"/>
              </w:rPr>
              <w:t>H18</w:t>
            </w:r>
          </w:p>
        </w:tc>
        <w:tc>
          <w:tcPr>
            <w:tcW w:w="2340" w:type="dxa"/>
            <w:tcBorders>
              <w:top w:val="single" w:sz="1" w:space="0" w:color="BFBFBF"/>
              <w:left w:val="single" w:sz="1" w:space="0" w:color="BFBFBF"/>
              <w:bottom w:val="single" w:sz="1" w:space="0" w:color="BFBFBF"/>
              <w:right w:val="single" w:sz="1" w:space="0" w:color="BFBFBF"/>
            </w:tcBorders>
            <w:shd w:val="clear" w:color="auto" w:fill="EBF3FB"/>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9</w:t>
            </w:r>
          </w:p>
        </w:tc>
        <w:tc>
          <w:tcPr>
            <w:tcW w:w="2340" w:type="dxa"/>
            <w:tcBorders>
              <w:top w:val="single" w:sz="1" w:space="0" w:color="BFBFBF"/>
              <w:left w:val="single" w:sz="1" w:space="0" w:color="BFBFBF"/>
              <w:bottom w:val="single" w:sz="1" w:space="0" w:color="BFBFBF"/>
              <w:right w:val="single" w:sz="1" w:space="0" w:color="BFBFBF"/>
            </w:tcBorders>
            <w:shd w:val="clear" w:color="auto" w:fill="EBF3FB"/>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3.955</w:t>
            </w:r>
          </w:p>
        </w:tc>
        <w:tc>
          <w:tcPr>
            <w:tcW w:w="2340" w:type="dxa"/>
            <w:tcBorders>
              <w:top w:val="single" w:sz="1" w:space="0" w:color="BFBFBF"/>
              <w:left w:val="single" w:sz="1" w:space="0" w:color="BFBFBF"/>
              <w:bottom w:val="single" w:sz="1" w:space="0" w:color="BFBFBF"/>
              <w:right w:val="single" w:sz="1" w:space="0" w:color="BFBFBF"/>
            </w:tcBorders>
            <w:shd w:val="clear" w:color="auto" w:fill="EBF3FB"/>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0,23%</w:t>
            </w:r>
          </w:p>
        </w:tc>
      </w:tr>
      <w:tr w:rsidR="00CC24B5" w:rsidRPr="00CC24B5" w:rsidTr="00CC24B5">
        <w:tc>
          <w:tcPr>
            <w:tcW w:w="2340" w:type="dxa"/>
            <w:tcBorders>
              <w:top w:val="single" w:sz="1" w:space="0" w:color="BFBFBF"/>
              <w:left w:val="single" w:sz="1" w:space="0" w:color="BFBFBF"/>
              <w:bottom w:val="single" w:sz="1" w:space="0" w:color="BFBFBF"/>
              <w:right w:val="single" w:sz="1" w:space="0" w:color="BFBFBF"/>
            </w:tcBorders>
            <w:shd w:val="clear" w:color="auto" w:fill="FFFFFF"/>
            <w:tcMar>
              <w:top w:w="60" w:type="dxa"/>
              <w:left w:w="120" w:type="dxa"/>
              <w:bottom w:w="60" w:type="dxa"/>
              <w:right w:w="120" w:type="dxa"/>
            </w:tcMar>
          </w:tcPr>
          <w:p w:rsidR="00CC24B5" w:rsidRPr="00CC24B5" w:rsidRDefault="00CC24B5" w:rsidP="00CC24B5">
            <w:pPr>
              <w:spacing w:before="40" w:after="40" w:line="240" w:lineRule="auto"/>
              <w:rPr>
                <w:rFonts w:ascii="Arial" w:eastAsia="Arial" w:hAnsi="Arial" w:cs="Arial"/>
              </w:rPr>
            </w:pPr>
            <w:r w:rsidRPr="00CC24B5">
              <w:rPr>
                <w:rFonts w:ascii="Calibri" w:eastAsia="Calibri" w:hAnsi="Calibri" w:cs="Calibri"/>
                <w:sz w:val="20"/>
                <w:szCs w:val="20"/>
              </w:rPr>
              <w:t>H19</w:t>
            </w:r>
          </w:p>
        </w:tc>
        <w:tc>
          <w:tcPr>
            <w:tcW w:w="2340" w:type="dxa"/>
            <w:tcBorders>
              <w:top w:val="single" w:sz="1" w:space="0" w:color="BFBFBF"/>
              <w:left w:val="single" w:sz="1" w:space="0" w:color="BFBFBF"/>
              <w:bottom w:val="single" w:sz="1" w:space="0" w:color="BFBFBF"/>
              <w:right w:val="single" w:sz="1" w:space="0" w:color="BFBFBF"/>
            </w:tcBorders>
            <w:shd w:val="clear" w:color="auto" w:fill="FFFFFF"/>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3</w:t>
            </w:r>
          </w:p>
        </w:tc>
        <w:tc>
          <w:tcPr>
            <w:tcW w:w="2340" w:type="dxa"/>
            <w:tcBorders>
              <w:top w:val="single" w:sz="1" w:space="0" w:color="BFBFBF"/>
              <w:left w:val="single" w:sz="1" w:space="0" w:color="BFBFBF"/>
              <w:bottom w:val="single" w:sz="1" w:space="0" w:color="BFBFBF"/>
              <w:right w:val="single" w:sz="1" w:space="0" w:color="BFBFBF"/>
            </w:tcBorders>
            <w:shd w:val="clear" w:color="auto" w:fill="FFFFFF"/>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3.961</w:t>
            </w:r>
          </w:p>
        </w:tc>
        <w:tc>
          <w:tcPr>
            <w:tcW w:w="2340" w:type="dxa"/>
            <w:tcBorders>
              <w:top w:val="single" w:sz="1" w:space="0" w:color="BFBFBF"/>
              <w:left w:val="single" w:sz="1" w:space="0" w:color="BFBFBF"/>
              <w:bottom w:val="single" w:sz="1" w:space="0" w:color="BFBFBF"/>
              <w:right w:val="single" w:sz="1" w:space="0" w:color="BFBFBF"/>
            </w:tcBorders>
            <w:shd w:val="clear" w:color="auto" w:fill="FFFFFF"/>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0,08%</w:t>
            </w:r>
          </w:p>
        </w:tc>
      </w:tr>
      <w:tr w:rsidR="00CC24B5" w:rsidRPr="00CC24B5" w:rsidTr="00CC24B5">
        <w:tc>
          <w:tcPr>
            <w:tcW w:w="2340" w:type="dxa"/>
            <w:tcBorders>
              <w:top w:val="single" w:sz="1" w:space="0" w:color="BFBFBF"/>
              <w:left w:val="single" w:sz="1" w:space="0" w:color="BFBFBF"/>
              <w:bottom w:val="single" w:sz="1" w:space="0" w:color="BFBFBF"/>
              <w:right w:val="single" w:sz="1" w:space="0" w:color="BFBFBF"/>
            </w:tcBorders>
            <w:shd w:val="clear" w:color="auto" w:fill="EBF3FB"/>
            <w:tcMar>
              <w:top w:w="60" w:type="dxa"/>
              <w:left w:w="120" w:type="dxa"/>
              <w:bottom w:w="60" w:type="dxa"/>
              <w:right w:w="120" w:type="dxa"/>
            </w:tcMar>
          </w:tcPr>
          <w:p w:rsidR="00CC24B5" w:rsidRPr="00CC24B5" w:rsidRDefault="00CC24B5" w:rsidP="00CC24B5">
            <w:pPr>
              <w:spacing w:before="40" w:after="40" w:line="240" w:lineRule="auto"/>
              <w:rPr>
                <w:rFonts w:ascii="Arial" w:eastAsia="Arial" w:hAnsi="Arial" w:cs="Arial"/>
              </w:rPr>
            </w:pPr>
            <w:r w:rsidRPr="00CC24B5">
              <w:rPr>
                <w:rFonts w:ascii="Calibri" w:eastAsia="Calibri" w:hAnsi="Calibri" w:cs="Calibri"/>
                <w:sz w:val="20"/>
                <w:szCs w:val="20"/>
              </w:rPr>
              <w:t>H20</w:t>
            </w:r>
          </w:p>
        </w:tc>
        <w:tc>
          <w:tcPr>
            <w:tcW w:w="2340" w:type="dxa"/>
            <w:tcBorders>
              <w:top w:val="single" w:sz="1" w:space="0" w:color="BFBFBF"/>
              <w:left w:val="single" w:sz="1" w:space="0" w:color="BFBFBF"/>
              <w:bottom w:val="single" w:sz="1" w:space="0" w:color="BFBFBF"/>
              <w:right w:val="single" w:sz="1" w:space="0" w:color="BFBFBF"/>
            </w:tcBorders>
            <w:shd w:val="clear" w:color="auto" w:fill="EBF3FB"/>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5</w:t>
            </w:r>
          </w:p>
        </w:tc>
        <w:tc>
          <w:tcPr>
            <w:tcW w:w="2340" w:type="dxa"/>
            <w:tcBorders>
              <w:top w:val="single" w:sz="1" w:space="0" w:color="BFBFBF"/>
              <w:left w:val="single" w:sz="1" w:space="0" w:color="BFBFBF"/>
              <w:bottom w:val="single" w:sz="1" w:space="0" w:color="BFBFBF"/>
              <w:right w:val="single" w:sz="1" w:space="0" w:color="BFBFBF"/>
            </w:tcBorders>
            <w:shd w:val="clear" w:color="auto" w:fill="EBF3FB"/>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3.959</w:t>
            </w:r>
          </w:p>
        </w:tc>
        <w:tc>
          <w:tcPr>
            <w:tcW w:w="2340" w:type="dxa"/>
            <w:tcBorders>
              <w:top w:val="single" w:sz="1" w:space="0" w:color="BFBFBF"/>
              <w:left w:val="single" w:sz="1" w:space="0" w:color="BFBFBF"/>
              <w:bottom w:val="single" w:sz="1" w:space="0" w:color="BFBFBF"/>
              <w:right w:val="single" w:sz="1" w:space="0" w:color="BFBFBF"/>
            </w:tcBorders>
            <w:shd w:val="clear" w:color="auto" w:fill="EBF3FB"/>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0,13%</w:t>
            </w:r>
          </w:p>
        </w:tc>
      </w:tr>
      <w:tr w:rsidR="00CC24B5" w:rsidRPr="00CC24B5" w:rsidTr="00CC24B5">
        <w:tc>
          <w:tcPr>
            <w:tcW w:w="2340" w:type="dxa"/>
            <w:tcBorders>
              <w:top w:val="single" w:sz="1" w:space="0" w:color="BFBFBF"/>
              <w:left w:val="single" w:sz="1" w:space="0" w:color="BFBFBF"/>
              <w:bottom w:val="single" w:sz="1" w:space="0" w:color="BFBFBF"/>
              <w:right w:val="single" w:sz="1" w:space="0" w:color="BFBFBF"/>
            </w:tcBorders>
            <w:shd w:val="clear" w:color="auto" w:fill="FFFFFF"/>
            <w:tcMar>
              <w:top w:w="60" w:type="dxa"/>
              <w:left w:w="120" w:type="dxa"/>
              <w:bottom w:w="60" w:type="dxa"/>
              <w:right w:w="120" w:type="dxa"/>
            </w:tcMar>
          </w:tcPr>
          <w:p w:rsidR="00CC24B5" w:rsidRPr="00CC24B5" w:rsidRDefault="00CC24B5" w:rsidP="00CC24B5">
            <w:pPr>
              <w:spacing w:before="40" w:after="40" w:line="240" w:lineRule="auto"/>
              <w:rPr>
                <w:rFonts w:ascii="Arial" w:eastAsia="Arial" w:hAnsi="Arial" w:cs="Arial"/>
              </w:rPr>
            </w:pPr>
            <w:r w:rsidRPr="00CC24B5">
              <w:rPr>
                <w:rFonts w:ascii="Calibri" w:eastAsia="Calibri" w:hAnsi="Calibri" w:cs="Calibri"/>
                <w:sz w:val="20"/>
                <w:szCs w:val="20"/>
              </w:rPr>
              <w:t>H21</w:t>
            </w:r>
          </w:p>
        </w:tc>
        <w:tc>
          <w:tcPr>
            <w:tcW w:w="2340" w:type="dxa"/>
            <w:tcBorders>
              <w:top w:val="single" w:sz="1" w:space="0" w:color="BFBFBF"/>
              <w:left w:val="single" w:sz="1" w:space="0" w:color="BFBFBF"/>
              <w:bottom w:val="single" w:sz="1" w:space="0" w:color="BFBFBF"/>
              <w:right w:val="single" w:sz="1" w:space="0" w:color="BFBFBF"/>
            </w:tcBorders>
            <w:shd w:val="clear" w:color="auto" w:fill="FFFFFF"/>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5</w:t>
            </w:r>
          </w:p>
        </w:tc>
        <w:tc>
          <w:tcPr>
            <w:tcW w:w="2340" w:type="dxa"/>
            <w:tcBorders>
              <w:top w:val="single" w:sz="1" w:space="0" w:color="BFBFBF"/>
              <w:left w:val="single" w:sz="1" w:space="0" w:color="BFBFBF"/>
              <w:bottom w:val="single" w:sz="1" w:space="0" w:color="BFBFBF"/>
              <w:right w:val="single" w:sz="1" w:space="0" w:color="BFBFBF"/>
            </w:tcBorders>
            <w:shd w:val="clear" w:color="auto" w:fill="FFFFFF"/>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3.959</w:t>
            </w:r>
          </w:p>
        </w:tc>
        <w:tc>
          <w:tcPr>
            <w:tcW w:w="2340" w:type="dxa"/>
            <w:tcBorders>
              <w:top w:val="single" w:sz="1" w:space="0" w:color="BFBFBF"/>
              <w:left w:val="single" w:sz="1" w:space="0" w:color="BFBFBF"/>
              <w:bottom w:val="single" w:sz="1" w:space="0" w:color="BFBFBF"/>
              <w:right w:val="single" w:sz="1" w:space="0" w:color="BFBFBF"/>
            </w:tcBorders>
            <w:shd w:val="clear" w:color="auto" w:fill="FFFFFF"/>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0,13%</w:t>
            </w:r>
          </w:p>
        </w:tc>
      </w:tr>
      <w:tr w:rsidR="00CC24B5" w:rsidRPr="00CC24B5" w:rsidTr="00CC24B5">
        <w:tc>
          <w:tcPr>
            <w:tcW w:w="2340" w:type="dxa"/>
            <w:tcBorders>
              <w:top w:val="single" w:sz="1" w:space="0" w:color="BFBFBF"/>
              <w:left w:val="single" w:sz="1" w:space="0" w:color="BFBFBF"/>
              <w:bottom w:val="single" w:sz="1" w:space="0" w:color="BFBFBF"/>
              <w:right w:val="single" w:sz="1" w:space="0" w:color="BFBFBF"/>
            </w:tcBorders>
            <w:shd w:val="clear" w:color="auto" w:fill="EBF3FB"/>
            <w:tcMar>
              <w:top w:w="60" w:type="dxa"/>
              <w:left w:w="120" w:type="dxa"/>
              <w:bottom w:w="60" w:type="dxa"/>
              <w:right w:w="120" w:type="dxa"/>
            </w:tcMar>
          </w:tcPr>
          <w:p w:rsidR="00CC24B5" w:rsidRPr="00CC24B5" w:rsidRDefault="00CC24B5" w:rsidP="00CC24B5">
            <w:pPr>
              <w:spacing w:before="40" w:after="40" w:line="240" w:lineRule="auto"/>
              <w:rPr>
                <w:rFonts w:ascii="Arial" w:eastAsia="Arial" w:hAnsi="Arial" w:cs="Arial"/>
              </w:rPr>
            </w:pPr>
            <w:r w:rsidRPr="00CC24B5">
              <w:rPr>
                <w:rFonts w:ascii="Calibri" w:eastAsia="Calibri" w:hAnsi="Calibri" w:cs="Calibri"/>
                <w:sz w:val="20"/>
                <w:szCs w:val="20"/>
              </w:rPr>
              <w:t>H22</w:t>
            </w:r>
          </w:p>
        </w:tc>
        <w:tc>
          <w:tcPr>
            <w:tcW w:w="2340" w:type="dxa"/>
            <w:tcBorders>
              <w:top w:val="single" w:sz="1" w:space="0" w:color="BFBFBF"/>
              <w:left w:val="single" w:sz="1" w:space="0" w:color="BFBFBF"/>
              <w:bottom w:val="single" w:sz="1" w:space="0" w:color="BFBFBF"/>
              <w:right w:val="single" w:sz="1" w:space="0" w:color="BFBFBF"/>
            </w:tcBorders>
            <w:shd w:val="clear" w:color="auto" w:fill="EBF3FB"/>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3</w:t>
            </w:r>
          </w:p>
        </w:tc>
        <w:tc>
          <w:tcPr>
            <w:tcW w:w="2340" w:type="dxa"/>
            <w:tcBorders>
              <w:top w:val="single" w:sz="1" w:space="0" w:color="BFBFBF"/>
              <w:left w:val="single" w:sz="1" w:space="0" w:color="BFBFBF"/>
              <w:bottom w:val="single" w:sz="1" w:space="0" w:color="BFBFBF"/>
              <w:right w:val="single" w:sz="1" w:space="0" w:color="BFBFBF"/>
            </w:tcBorders>
            <w:shd w:val="clear" w:color="auto" w:fill="EBF3FB"/>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3.961</w:t>
            </w:r>
          </w:p>
        </w:tc>
        <w:tc>
          <w:tcPr>
            <w:tcW w:w="2340" w:type="dxa"/>
            <w:tcBorders>
              <w:top w:val="single" w:sz="1" w:space="0" w:color="BFBFBF"/>
              <w:left w:val="single" w:sz="1" w:space="0" w:color="BFBFBF"/>
              <w:bottom w:val="single" w:sz="1" w:space="0" w:color="BFBFBF"/>
              <w:right w:val="single" w:sz="1" w:space="0" w:color="BFBFBF"/>
            </w:tcBorders>
            <w:shd w:val="clear" w:color="auto" w:fill="EBF3FB"/>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0,08%</w:t>
            </w:r>
          </w:p>
        </w:tc>
      </w:tr>
      <w:tr w:rsidR="00CC24B5" w:rsidRPr="00CC24B5" w:rsidTr="00CC24B5">
        <w:tc>
          <w:tcPr>
            <w:tcW w:w="2340" w:type="dxa"/>
            <w:tcBorders>
              <w:top w:val="single" w:sz="1" w:space="0" w:color="BFBFBF"/>
              <w:left w:val="single" w:sz="1" w:space="0" w:color="BFBFBF"/>
              <w:bottom w:val="single" w:sz="1" w:space="0" w:color="BFBFBF"/>
              <w:right w:val="single" w:sz="1" w:space="0" w:color="BFBFBF"/>
            </w:tcBorders>
            <w:shd w:val="clear" w:color="auto" w:fill="FFFFFF"/>
            <w:tcMar>
              <w:top w:w="60" w:type="dxa"/>
              <w:left w:w="120" w:type="dxa"/>
              <w:bottom w:w="60" w:type="dxa"/>
              <w:right w:w="120" w:type="dxa"/>
            </w:tcMar>
          </w:tcPr>
          <w:p w:rsidR="00CC24B5" w:rsidRPr="00CC24B5" w:rsidRDefault="00CC24B5" w:rsidP="00CC24B5">
            <w:pPr>
              <w:spacing w:before="40" w:after="40" w:line="240" w:lineRule="auto"/>
              <w:rPr>
                <w:rFonts w:ascii="Arial" w:eastAsia="Arial" w:hAnsi="Arial" w:cs="Arial"/>
              </w:rPr>
            </w:pPr>
            <w:r w:rsidRPr="00CC24B5">
              <w:rPr>
                <w:rFonts w:ascii="Calibri" w:eastAsia="Calibri" w:hAnsi="Calibri" w:cs="Calibri"/>
                <w:sz w:val="20"/>
                <w:szCs w:val="20"/>
              </w:rPr>
              <w:t>H23</w:t>
            </w:r>
          </w:p>
        </w:tc>
        <w:tc>
          <w:tcPr>
            <w:tcW w:w="2340" w:type="dxa"/>
            <w:tcBorders>
              <w:top w:val="single" w:sz="1" w:space="0" w:color="BFBFBF"/>
              <w:left w:val="single" w:sz="1" w:space="0" w:color="BFBFBF"/>
              <w:bottom w:val="single" w:sz="1" w:space="0" w:color="BFBFBF"/>
              <w:right w:val="single" w:sz="1" w:space="0" w:color="BFBFBF"/>
            </w:tcBorders>
            <w:shd w:val="clear" w:color="auto" w:fill="FFFFFF"/>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1</w:t>
            </w:r>
          </w:p>
        </w:tc>
        <w:tc>
          <w:tcPr>
            <w:tcW w:w="2340" w:type="dxa"/>
            <w:tcBorders>
              <w:top w:val="single" w:sz="1" w:space="0" w:color="BFBFBF"/>
              <w:left w:val="single" w:sz="1" w:space="0" w:color="BFBFBF"/>
              <w:bottom w:val="single" w:sz="1" w:space="0" w:color="BFBFBF"/>
              <w:right w:val="single" w:sz="1" w:space="0" w:color="BFBFBF"/>
            </w:tcBorders>
            <w:shd w:val="clear" w:color="auto" w:fill="FFFFFF"/>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3.963</w:t>
            </w:r>
          </w:p>
        </w:tc>
        <w:tc>
          <w:tcPr>
            <w:tcW w:w="2340" w:type="dxa"/>
            <w:tcBorders>
              <w:top w:val="single" w:sz="1" w:space="0" w:color="BFBFBF"/>
              <w:left w:val="single" w:sz="1" w:space="0" w:color="BFBFBF"/>
              <w:bottom w:val="single" w:sz="1" w:space="0" w:color="BFBFBF"/>
              <w:right w:val="single" w:sz="1" w:space="0" w:color="BFBFBF"/>
            </w:tcBorders>
            <w:shd w:val="clear" w:color="auto" w:fill="FFFFFF"/>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0,03%</w:t>
            </w:r>
          </w:p>
        </w:tc>
      </w:tr>
      <w:tr w:rsidR="00CC24B5" w:rsidRPr="00CC24B5" w:rsidTr="00CC24B5">
        <w:tc>
          <w:tcPr>
            <w:tcW w:w="2340" w:type="dxa"/>
            <w:tcBorders>
              <w:top w:val="single" w:sz="1" w:space="0" w:color="BFBFBF"/>
              <w:left w:val="single" w:sz="1" w:space="0" w:color="BFBFBF"/>
              <w:bottom w:val="single" w:sz="1" w:space="0" w:color="BFBFBF"/>
              <w:right w:val="single" w:sz="1" w:space="0" w:color="BFBFBF"/>
            </w:tcBorders>
            <w:shd w:val="clear" w:color="auto" w:fill="EBF3FB"/>
            <w:tcMar>
              <w:top w:w="60" w:type="dxa"/>
              <w:left w:w="120" w:type="dxa"/>
              <w:bottom w:w="60" w:type="dxa"/>
              <w:right w:w="120" w:type="dxa"/>
            </w:tcMar>
          </w:tcPr>
          <w:p w:rsidR="00CC24B5" w:rsidRPr="00CC24B5" w:rsidRDefault="00CC24B5" w:rsidP="00CC24B5">
            <w:pPr>
              <w:spacing w:before="40" w:after="40" w:line="240" w:lineRule="auto"/>
              <w:rPr>
                <w:rFonts w:ascii="Arial" w:eastAsia="Arial" w:hAnsi="Arial" w:cs="Arial"/>
              </w:rPr>
            </w:pPr>
            <w:r w:rsidRPr="00CC24B5">
              <w:rPr>
                <w:rFonts w:ascii="Calibri" w:eastAsia="Calibri" w:hAnsi="Calibri" w:cs="Calibri"/>
                <w:sz w:val="20"/>
                <w:szCs w:val="20"/>
              </w:rPr>
              <w:t>H24</w:t>
            </w:r>
          </w:p>
        </w:tc>
        <w:tc>
          <w:tcPr>
            <w:tcW w:w="2340" w:type="dxa"/>
            <w:tcBorders>
              <w:top w:val="single" w:sz="1" w:space="0" w:color="BFBFBF"/>
              <w:left w:val="single" w:sz="1" w:space="0" w:color="BFBFBF"/>
              <w:bottom w:val="single" w:sz="1" w:space="0" w:color="BFBFBF"/>
              <w:right w:val="single" w:sz="1" w:space="0" w:color="BFBFBF"/>
            </w:tcBorders>
            <w:shd w:val="clear" w:color="auto" w:fill="EBF3FB"/>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5</w:t>
            </w:r>
          </w:p>
        </w:tc>
        <w:tc>
          <w:tcPr>
            <w:tcW w:w="2340" w:type="dxa"/>
            <w:tcBorders>
              <w:top w:val="single" w:sz="1" w:space="0" w:color="BFBFBF"/>
              <w:left w:val="single" w:sz="1" w:space="0" w:color="BFBFBF"/>
              <w:bottom w:val="single" w:sz="1" w:space="0" w:color="BFBFBF"/>
              <w:right w:val="single" w:sz="1" w:space="0" w:color="BFBFBF"/>
            </w:tcBorders>
            <w:shd w:val="clear" w:color="auto" w:fill="EBF3FB"/>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3.959</w:t>
            </w:r>
          </w:p>
        </w:tc>
        <w:tc>
          <w:tcPr>
            <w:tcW w:w="2340" w:type="dxa"/>
            <w:tcBorders>
              <w:top w:val="single" w:sz="1" w:space="0" w:color="BFBFBF"/>
              <w:left w:val="single" w:sz="1" w:space="0" w:color="BFBFBF"/>
              <w:bottom w:val="single" w:sz="1" w:space="0" w:color="BFBFBF"/>
              <w:right w:val="single" w:sz="1" w:space="0" w:color="BFBFBF"/>
            </w:tcBorders>
            <w:shd w:val="clear" w:color="auto" w:fill="EBF3FB"/>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0,13%</w:t>
            </w:r>
          </w:p>
        </w:tc>
      </w:tr>
      <w:tr w:rsidR="00CC24B5" w:rsidRPr="00CC24B5" w:rsidTr="00CC24B5">
        <w:tc>
          <w:tcPr>
            <w:tcW w:w="2340" w:type="dxa"/>
            <w:tcBorders>
              <w:top w:val="single" w:sz="1" w:space="0" w:color="BFBFBF"/>
              <w:left w:val="single" w:sz="1" w:space="0" w:color="BFBFBF"/>
              <w:bottom w:val="single" w:sz="1" w:space="0" w:color="BFBFBF"/>
              <w:right w:val="single" w:sz="1" w:space="0" w:color="BFBFBF"/>
            </w:tcBorders>
            <w:shd w:val="clear" w:color="auto" w:fill="FFFFFF"/>
            <w:tcMar>
              <w:top w:w="60" w:type="dxa"/>
              <w:left w:w="120" w:type="dxa"/>
              <w:bottom w:w="60" w:type="dxa"/>
              <w:right w:w="120" w:type="dxa"/>
            </w:tcMar>
          </w:tcPr>
          <w:p w:rsidR="00CC24B5" w:rsidRPr="00CC24B5" w:rsidRDefault="00CC24B5" w:rsidP="00CC24B5">
            <w:pPr>
              <w:spacing w:before="40" w:after="40" w:line="240" w:lineRule="auto"/>
              <w:rPr>
                <w:rFonts w:ascii="Arial" w:eastAsia="Arial" w:hAnsi="Arial" w:cs="Arial"/>
              </w:rPr>
            </w:pPr>
            <w:r w:rsidRPr="00CC24B5">
              <w:rPr>
                <w:rFonts w:ascii="Calibri" w:eastAsia="Calibri" w:hAnsi="Calibri" w:cs="Calibri"/>
                <w:sz w:val="20"/>
                <w:szCs w:val="20"/>
              </w:rPr>
              <w:t>H25</w:t>
            </w:r>
          </w:p>
        </w:tc>
        <w:tc>
          <w:tcPr>
            <w:tcW w:w="2340" w:type="dxa"/>
            <w:tcBorders>
              <w:top w:val="single" w:sz="1" w:space="0" w:color="BFBFBF"/>
              <w:left w:val="single" w:sz="1" w:space="0" w:color="BFBFBF"/>
              <w:bottom w:val="single" w:sz="1" w:space="0" w:color="BFBFBF"/>
              <w:right w:val="single" w:sz="1" w:space="0" w:color="BFBFBF"/>
            </w:tcBorders>
            <w:shd w:val="clear" w:color="auto" w:fill="FFFFFF"/>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1</w:t>
            </w:r>
          </w:p>
        </w:tc>
        <w:tc>
          <w:tcPr>
            <w:tcW w:w="2340" w:type="dxa"/>
            <w:tcBorders>
              <w:top w:val="single" w:sz="1" w:space="0" w:color="BFBFBF"/>
              <w:left w:val="single" w:sz="1" w:space="0" w:color="BFBFBF"/>
              <w:bottom w:val="single" w:sz="1" w:space="0" w:color="BFBFBF"/>
              <w:right w:val="single" w:sz="1" w:space="0" w:color="BFBFBF"/>
            </w:tcBorders>
            <w:shd w:val="clear" w:color="auto" w:fill="FFFFFF"/>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3.963</w:t>
            </w:r>
          </w:p>
        </w:tc>
        <w:tc>
          <w:tcPr>
            <w:tcW w:w="2340" w:type="dxa"/>
            <w:tcBorders>
              <w:top w:val="single" w:sz="1" w:space="0" w:color="BFBFBF"/>
              <w:left w:val="single" w:sz="1" w:space="0" w:color="BFBFBF"/>
              <w:bottom w:val="single" w:sz="1" w:space="0" w:color="BFBFBF"/>
              <w:right w:val="single" w:sz="1" w:space="0" w:color="BFBFBF"/>
            </w:tcBorders>
            <w:shd w:val="clear" w:color="auto" w:fill="FFFFFF"/>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0,03%</w:t>
            </w:r>
          </w:p>
        </w:tc>
      </w:tr>
    </w:tbl>
    <w:p w:rsidR="00CC24B5" w:rsidRPr="00CC24B5" w:rsidRDefault="00CC24B5" w:rsidP="00CC24B5">
      <w:pPr>
        <w:spacing w:before="120" w:after="0" w:line="240" w:lineRule="auto"/>
        <w:rPr>
          <w:rFonts w:ascii="Arial" w:eastAsia="Arial" w:hAnsi="Arial" w:cs="Arial"/>
        </w:rPr>
      </w:pPr>
    </w:p>
    <w:p w:rsidR="00CC24B5" w:rsidRPr="00CC24B5" w:rsidRDefault="00CC24B5" w:rsidP="00CC24B5">
      <w:pPr>
        <w:spacing w:before="80" w:after="80" w:line="240" w:lineRule="auto"/>
        <w:jc w:val="both"/>
        <w:rPr>
          <w:rFonts w:ascii="Arial" w:eastAsia="Arial" w:hAnsi="Arial" w:cs="Arial"/>
        </w:rPr>
      </w:pPr>
      <w:r w:rsidRPr="00CC24B5">
        <w:rPr>
          <w:rFonts w:ascii="Calibri" w:eastAsia="Calibri" w:hAnsi="Calibri" w:cs="Calibri"/>
          <w:b/>
          <w:bCs/>
          <w:color w:val="000000"/>
        </w:rPr>
        <w:t xml:space="preserve">Concluzie: </w:t>
      </w:r>
      <w:r w:rsidRPr="00CC24B5">
        <w:rPr>
          <w:rFonts w:ascii="Calibri" w:eastAsia="Calibri" w:hAnsi="Calibri" w:cs="Calibri"/>
          <w:color w:val="000000"/>
        </w:rPr>
        <w:t>Rata maxima de depasire este de 2,85% (H6). Aceasta sugereaza existenta unor surse de distorsiune armonica de rang 6 in unele zone ale retelei (posibil convertoare de frecventa, redresoare hexafazate, sau alte echipamente cu comutatie).</w:t>
      </w:r>
    </w:p>
    <w:p w:rsidR="00CC24B5" w:rsidRPr="00CC24B5" w:rsidRDefault="00CC24B5" w:rsidP="00CC24B5">
      <w:pPr>
        <w:keepNext/>
        <w:spacing w:before="280" w:after="120" w:line="240" w:lineRule="auto"/>
        <w:outlineLvl w:val="1"/>
        <w:rPr>
          <w:rFonts w:ascii="Arial" w:eastAsia="Arial" w:hAnsi="Arial" w:cs="Arial"/>
          <w:b/>
          <w:bCs/>
          <w:color w:val="2E75B6"/>
          <w:sz w:val="28"/>
          <w:szCs w:val="28"/>
        </w:rPr>
      </w:pPr>
      <w:bookmarkStart w:id="9" w:name="_Toc232168945"/>
      <w:r w:rsidRPr="00CC24B5">
        <w:rPr>
          <w:rFonts w:ascii="Calibri" w:eastAsia="Calibri" w:hAnsi="Calibri" w:cs="Calibri"/>
          <w:b/>
          <w:bCs/>
          <w:color w:val="2E75B6"/>
          <w:sz w:val="28"/>
          <w:szCs w:val="28"/>
        </w:rPr>
        <w:t>3.1.10 Depasire factor de distorsiune armonica (THD)</w:t>
      </w:r>
      <w:bookmarkEnd w:id="9"/>
    </w:p>
    <w:p w:rsidR="00CC24B5" w:rsidRPr="00CC24B5" w:rsidRDefault="00CC24B5" w:rsidP="00CC24B5">
      <w:pPr>
        <w:spacing w:before="80" w:after="80" w:line="240" w:lineRule="auto"/>
        <w:jc w:val="both"/>
        <w:rPr>
          <w:rFonts w:ascii="Arial" w:eastAsia="Arial" w:hAnsi="Arial" w:cs="Arial"/>
        </w:rPr>
      </w:pPr>
      <w:r w:rsidRPr="00CC24B5">
        <w:rPr>
          <w:rFonts w:ascii="Calibri" w:eastAsia="Calibri" w:hAnsi="Calibri" w:cs="Calibri"/>
          <w:color w:val="000000"/>
        </w:rPr>
        <w:t>Factorul de distorsiune armonica totala (THD – Total Harmonic Distortion) reprezinta raportul dintre valoarea eficace a tuturor componentelor armonice si valoarea fundamentalei. Limita impusa de standard este THD ≤ 8%. Datele analizate arata:</w:t>
      </w:r>
    </w:p>
    <w:p w:rsidR="00CC24B5" w:rsidRPr="00CC24B5" w:rsidRDefault="00CC24B5" w:rsidP="00CC24B5">
      <w:pPr>
        <w:numPr>
          <w:ilvl w:val="0"/>
          <w:numId w:val="7"/>
        </w:numPr>
        <w:spacing w:before="60" w:after="120" w:line="240" w:lineRule="auto"/>
        <w:jc w:val="both"/>
        <w:rPr>
          <w:rFonts w:ascii="Arial" w:eastAsia="Arial" w:hAnsi="Arial" w:cs="Arial"/>
        </w:rPr>
      </w:pPr>
      <w:r w:rsidRPr="00CC24B5">
        <w:rPr>
          <w:rFonts w:ascii="Calibri" w:eastAsia="Calibri" w:hAnsi="Calibri" w:cs="Calibri"/>
        </w:rPr>
        <w:t>3.949 posturi (99,65%) nu inregistreaza depasiri ale THD</w:t>
      </w:r>
    </w:p>
    <w:p w:rsidR="00CC24B5" w:rsidRPr="00CC24B5" w:rsidRDefault="00CC24B5" w:rsidP="00CC24B5">
      <w:pPr>
        <w:numPr>
          <w:ilvl w:val="0"/>
          <w:numId w:val="7"/>
        </w:numPr>
        <w:spacing w:before="60" w:after="120" w:line="240" w:lineRule="auto"/>
        <w:jc w:val="both"/>
        <w:rPr>
          <w:rFonts w:ascii="Arial" w:eastAsia="Arial" w:hAnsi="Arial" w:cs="Arial"/>
        </w:rPr>
      </w:pPr>
      <w:r w:rsidRPr="00CC24B5">
        <w:rPr>
          <w:rFonts w:ascii="Calibri" w:eastAsia="Calibri" w:hAnsi="Calibri" w:cs="Calibri"/>
        </w:rPr>
        <w:t>15 posturi (0,35%) prezinta cel putin o saptamana cu THD &gt; 8%</w:t>
      </w:r>
    </w:p>
    <w:p w:rsidR="00CC24B5" w:rsidRPr="00CC24B5" w:rsidRDefault="00CC24B5" w:rsidP="00CC24B5">
      <w:pPr>
        <w:keepNext/>
        <w:numPr>
          <w:ilvl w:val="0"/>
          <w:numId w:val="7"/>
        </w:numPr>
        <w:spacing w:before="160" w:beforeAutospacing="1" w:after="80" w:afterAutospacing="1" w:line="240" w:lineRule="auto"/>
        <w:jc w:val="center"/>
        <w:rPr>
          <w:rFonts w:ascii="Times New Roman" w:eastAsia="Times New Roman" w:hAnsi="Times New Roman" w:cs="Times New Roman"/>
          <w:sz w:val="24"/>
          <w:szCs w:val="24"/>
        </w:rPr>
      </w:pPr>
      <w:r w:rsidRPr="00CC24B5">
        <w:rPr>
          <w:rFonts w:ascii="Calibri" w:eastAsia="Calibri" w:hAnsi="Calibri" w:cs="Calibri"/>
          <w:noProof/>
          <w:szCs w:val="24"/>
        </w:rPr>
        <w:lastRenderedPageBreak/>
        <w:drawing>
          <wp:inline distT="0" distB="0" distL="0" distR="0" wp14:anchorId="41F96EE5" wp14:editId="192019FD">
            <wp:extent cx="4991100" cy="3390533"/>
            <wp:effectExtent l="0" t="0" r="0" b="63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999568" cy="3396285"/>
                    </a:xfrm>
                    <a:prstGeom prst="rect">
                      <a:avLst/>
                    </a:prstGeom>
                    <a:noFill/>
                    <a:ln>
                      <a:noFill/>
                    </a:ln>
                  </pic:spPr>
                </pic:pic>
              </a:graphicData>
            </a:graphic>
          </wp:inline>
        </w:drawing>
      </w:r>
    </w:p>
    <w:p w:rsidR="00CC24B5" w:rsidRPr="00CC24B5" w:rsidRDefault="00CC24B5" w:rsidP="00CC24B5">
      <w:pPr>
        <w:numPr>
          <w:ilvl w:val="0"/>
          <w:numId w:val="7"/>
        </w:numPr>
        <w:spacing w:before="60" w:after="60" w:line="240" w:lineRule="auto"/>
        <w:rPr>
          <w:rFonts w:ascii="Arial" w:eastAsia="Arial" w:hAnsi="Arial" w:cs="Arial"/>
        </w:rPr>
      </w:pPr>
    </w:p>
    <w:p w:rsidR="00CC24B5" w:rsidRPr="00CC24B5" w:rsidRDefault="00CC24B5" w:rsidP="00CC24B5">
      <w:pPr>
        <w:spacing w:before="120" w:after="120" w:line="240" w:lineRule="auto"/>
        <w:jc w:val="center"/>
        <w:rPr>
          <w:rFonts w:ascii="Arial" w:eastAsia="Arial" w:hAnsi="Arial" w:cs="Arial"/>
        </w:rPr>
      </w:pPr>
    </w:p>
    <w:p w:rsidR="00CC24B5" w:rsidRPr="00CC24B5" w:rsidRDefault="00CC24B5" w:rsidP="00CC24B5">
      <w:pPr>
        <w:spacing w:before="40" w:after="240" w:line="240" w:lineRule="auto"/>
        <w:jc w:val="center"/>
        <w:rPr>
          <w:rFonts w:ascii="Arial" w:eastAsia="Arial" w:hAnsi="Arial" w:cs="Arial"/>
        </w:rPr>
      </w:pPr>
      <w:r w:rsidRPr="00CC24B5">
        <w:rPr>
          <w:rFonts w:ascii="Calibri" w:eastAsia="Calibri" w:hAnsi="Calibri" w:cs="Calibri"/>
          <w:i/>
          <w:iCs/>
          <w:color w:val="595959"/>
          <w:sz w:val="20"/>
          <w:szCs w:val="18"/>
        </w:rPr>
        <w:t>Figura 3.10 – Conformitatea THD</w:t>
      </w:r>
    </w:p>
    <w:p w:rsidR="00CC24B5" w:rsidRPr="00CC24B5" w:rsidRDefault="00CC24B5" w:rsidP="00CC24B5">
      <w:pPr>
        <w:spacing w:before="80" w:after="80" w:line="240" w:lineRule="auto"/>
        <w:jc w:val="both"/>
        <w:rPr>
          <w:rFonts w:ascii="Arial" w:eastAsia="Arial" w:hAnsi="Arial" w:cs="Arial"/>
        </w:rPr>
      </w:pPr>
      <w:r w:rsidRPr="00CC24B5">
        <w:rPr>
          <w:rFonts w:ascii="Calibri" w:eastAsia="Calibri" w:hAnsi="Calibri" w:cs="Calibri"/>
          <w:b/>
          <w:bCs/>
          <w:color w:val="000000"/>
        </w:rPr>
        <w:t xml:space="preserve">Concluzie: </w:t>
      </w:r>
      <w:r w:rsidRPr="00CC24B5">
        <w:rPr>
          <w:rFonts w:ascii="Calibri" w:eastAsia="Calibri" w:hAnsi="Calibri" w:cs="Calibri"/>
        </w:rPr>
        <w:t xml:space="preserve">15 posturi (0,35%) </w:t>
      </w:r>
      <w:r w:rsidRPr="00CC24B5">
        <w:rPr>
          <w:rFonts w:ascii="Calibri" w:eastAsia="Calibri" w:hAnsi="Calibri" w:cs="Calibri"/>
          <w:color w:val="000000"/>
        </w:rPr>
        <w:t>depasesc limita de 8% in cel putin o saptamana. Aceste posturi necesita investigatii privind sursele de distorsiune (posibil sarcini industriale cu conversie de putere, statii de incarcare vehicule electrice sau alte consumatoare nelineare).</w:t>
      </w:r>
    </w:p>
    <w:p w:rsidR="00CC24B5" w:rsidRPr="00CC24B5" w:rsidRDefault="00CC24B5" w:rsidP="00CC24B5">
      <w:pPr>
        <w:keepNext/>
        <w:spacing w:before="280" w:after="120" w:line="240" w:lineRule="auto"/>
        <w:outlineLvl w:val="1"/>
        <w:rPr>
          <w:rFonts w:ascii="Arial" w:eastAsia="Arial" w:hAnsi="Arial" w:cs="Arial"/>
          <w:b/>
          <w:bCs/>
          <w:color w:val="2E75B6"/>
          <w:sz w:val="28"/>
          <w:szCs w:val="28"/>
        </w:rPr>
      </w:pPr>
      <w:bookmarkStart w:id="10" w:name="_Toc232168946"/>
      <w:r w:rsidRPr="00CC24B5">
        <w:rPr>
          <w:rFonts w:ascii="Calibri" w:eastAsia="Calibri" w:hAnsi="Calibri" w:cs="Calibri"/>
          <w:b/>
          <w:bCs/>
          <w:color w:val="2E75B6"/>
          <w:sz w:val="28"/>
          <w:szCs w:val="28"/>
        </w:rPr>
        <w:t>3.1.11 Depasire factor de nesimetrie de secventa negativa</w:t>
      </w:r>
      <w:bookmarkEnd w:id="10"/>
    </w:p>
    <w:p w:rsidR="00CC24B5" w:rsidRPr="00CC24B5" w:rsidRDefault="00CC24B5" w:rsidP="00CC24B5">
      <w:pPr>
        <w:spacing w:before="80" w:after="80" w:line="240" w:lineRule="auto"/>
        <w:jc w:val="both"/>
        <w:rPr>
          <w:rFonts w:ascii="Arial" w:eastAsia="Arial" w:hAnsi="Arial" w:cs="Arial"/>
        </w:rPr>
      </w:pPr>
      <w:r w:rsidRPr="00CC24B5">
        <w:rPr>
          <w:rFonts w:ascii="Calibri" w:eastAsia="Calibri" w:hAnsi="Calibri" w:cs="Calibri"/>
          <w:color w:val="000000"/>
        </w:rPr>
        <w:t xml:space="preserve">Factorul de nesimetrie de secventa negativa (k_u) caracterizeaza dezechilibrul sarcinilor monofazate in reteaua trifazata. Limita normativa este k_u ≤ 2% pentru 95% din intervalele de </w:t>
      </w:r>
      <w:proofErr w:type="gramStart"/>
      <w:r w:rsidRPr="00CC24B5">
        <w:rPr>
          <w:rFonts w:ascii="Calibri" w:eastAsia="Calibri" w:hAnsi="Calibri" w:cs="Calibri"/>
          <w:color w:val="000000"/>
        </w:rPr>
        <w:t>10 minute</w:t>
      </w:r>
      <w:proofErr w:type="gramEnd"/>
      <w:r w:rsidRPr="00CC24B5">
        <w:rPr>
          <w:rFonts w:ascii="Calibri" w:eastAsia="Calibri" w:hAnsi="Calibri" w:cs="Calibri"/>
          <w:color w:val="000000"/>
        </w:rPr>
        <w:t xml:space="preserve"> ale fiecarei saptamani. Analiza datelor evidentiaza:</w:t>
      </w:r>
    </w:p>
    <w:p w:rsidR="00CC24B5" w:rsidRPr="00CC24B5" w:rsidRDefault="00CC24B5" w:rsidP="00CC24B5">
      <w:pPr>
        <w:numPr>
          <w:ilvl w:val="0"/>
          <w:numId w:val="7"/>
        </w:numPr>
        <w:spacing w:before="60" w:after="120" w:line="240" w:lineRule="auto"/>
        <w:jc w:val="both"/>
        <w:rPr>
          <w:rFonts w:ascii="Arial" w:eastAsia="Arial" w:hAnsi="Arial" w:cs="Arial"/>
        </w:rPr>
      </w:pPr>
      <w:r w:rsidRPr="00CC24B5">
        <w:rPr>
          <w:rFonts w:ascii="Calibri" w:eastAsia="Calibri" w:hAnsi="Calibri" w:cs="Calibri"/>
        </w:rPr>
        <w:t>4.247 posturi (98,3%) nu inregistreaza depasiri ale factorului de nesimetrie (din care 3.891 posturi fara depasiri)</w:t>
      </w:r>
    </w:p>
    <w:p w:rsidR="00CC24B5" w:rsidRPr="00CC24B5" w:rsidRDefault="00CC24B5" w:rsidP="00CC24B5">
      <w:pPr>
        <w:numPr>
          <w:ilvl w:val="0"/>
          <w:numId w:val="7"/>
        </w:numPr>
        <w:spacing w:before="60" w:after="120" w:line="240" w:lineRule="auto"/>
        <w:jc w:val="both"/>
        <w:rPr>
          <w:rFonts w:ascii="Arial" w:eastAsia="Arial" w:hAnsi="Arial" w:cs="Arial"/>
        </w:rPr>
      </w:pPr>
      <w:r w:rsidRPr="00CC24B5">
        <w:rPr>
          <w:rFonts w:ascii="Calibri" w:eastAsia="Calibri" w:hAnsi="Calibri" w:cs="Calibri"/>
        </w:rPr>
        <w:t>73 posturi (1,7%) prezinta cel putin o saptamana cu k_u &gt; 2%</w:t>
      </w:r>
    </w:p>
    <w:p w:rsidR="00CC24B5" w:rsidRPr="00CC24B5" w:rsidRDefault="00CC24B5" w:rsidP="00CC24B5">
      <w:pPr>
        <w:spacing w:before="60" w:after="60" w:line="240" w:lineRule="auto"/>
        <w:ind w:left="720"/>
        <w:rPr>
          <w:rFonts w:ascii="Arial" w:eastAsia="Arial" w:hAnsi="Arial" w:cs="Arial"/>
        </w:rPr>
      </w:pPr>
    </w:p>
    <w:p w:rsidR="00CC24B5" w:rsidRPr="00CC24B5" w:rsidRDefault="00CC24B5" w:rsidP="00CC24B5">
      <w:pPr>
        <w:keepNext/>
        <w:spacing w:before="160" w:beforeAutospacing="1" w:after="80" w:afterAutospacing="1" w:line="240" w:lineRule="auto"/>
        <w:jc w:val="center"/>
        <w:rPr>
          <w:rFonts w:ascii="Times New Roman" w:eastAsia="Times New Roman" w:hAnsi="Times New Roman" w:cs="Times New Roman"/>
          <w:sz w:val="24"/>
          <w:szCs w:val="24"/>
        </w:rPr>
      </w:pPr>
      <w:r w:rsidRPr="00CC24B5">
        <w:rPr>
          <w:rFonts w:ascii="Calibri" w:eastAsia="Calibri" w:hAnsi="Calibri" w:cs="Calibri"/>
          <w:noProof/>
          <w:szCs w:val="24"/>
        </w:rPr>
        <w:lastRenderedPageBreak/>
        <w:drawing>
          <wp:inline distT="0" distB="0" distL="0" distR="0" wp14:anchorId="7F91CDBB" wp14:editId="178E826F">
            <wp:extent cx="5531527" cy="3731895"/>
            <wp:effectExtent l="0" t="0" r="0"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537586" cy="3735983"/>
                    </a:xfrm>
                    <a:prstGeom prst="rect">
                      <a:avLst/>
                    </a:prstGeom>
                    <a:noFill/>
                    <a:ln>
                      <a:noFill/>
                    </a:ln>
                  </pic:spPr>
                </pic:pic>
              </a:graphicData>
            </a:graphic>
          </wp:inline>
        </w:drawing>
      </w:r>
    </w:p>
    <w:p w:rsidR="00CC24B5" w:rsidRPr="00CC24B5" w:rsidRDefault="00CC24B5" w:rsidP="00CC24B5">
      <w:pPr>
        <w:spacing w:before="60" w:after="60" w:line="240" w:lineRule="auto"/>
        <w:ind w:left="720"/>
        <w:rPr>
          <w:rFonts w:ascii="Arial" w:eastAsia="Arial" w:hAnsi="Arial" w:cs="Arial"/>
        </w:rPr>
      </w:pPr>
    </w:p>
    <w:p w:rsidR="00CC24B5" w:rsidRPr="00CC24B5" w:rsidRDefault="00CC24B5" w:rsidP="00CC24B5">
      <w:pPr>
        <w:spacing w:before="60" w:after="60" w:line="240" w:lineRule="auto"/>
        <w:ind w:left="720"/>
        <w:rPr>
          <w:rFonts w:ascii="Arial" w:eastAsia="Arial" w:hAnsi="Arial" w:cs="Arial"/>
        </w:rPr>
      </w:pPr>
    </w:p>
    <w:p w:rsidR="00CC24B5" w:rsidRPr="00CC24B5" w:rsidRDefault="00CC24B5" w:rsidP="00CC24B5">
      <w:pPr>
        <w:spacing w:before="40" w:after="240" w:line="240" w:lineRule="auto"/>
        <w:jc w:val="center"/>
        <w:rPr>
          <w:rFonts w:ascii="Arial" w:eastAsia="Arial" w:hAnsi="Arial" w:cs="Arial"/>
        </w:rPr>
      </w:pPr>
      <w:r w:rsidRPr="00CC24B5">
        <w:rPr>
          <w:rFonts w:ascii="Calibri" w:eastAsia="Calibri" w:hAnsi="Calibri" w:cs="Calibri"/>
          <w:i/>
          <w:iCs/>
          <w:color w:val="595959"/>
          <w:sz w:val="20"/>
          <w:szCs w:val="18"/>
        </w:rPr>
        <w:t>Figura 3.11 – Conformitatea factorului de nesimetrie</w:t>
      </w:r>
    </w:p>
    <w:p w:rsidR="00CC24B5" w:rsidRPr="00CC24B5" w:rsidRDefault="00CC24B5" w:rsidP="00CC24B5">
      <w:pPr>
        <w:spacing w:before="80" w:after="80" w:line="240" w:lineRule="auto"/>
        <w:jc w:val="both"/>
        <w:rPr>
          <w:rFonts w:ascii="Arial" w:eastAsia="Arial" w:hAnsi="Arial" w:cs="Arial"/>
        </w:rPr>
      </w:pPr>
      <w:r w:rsidRPr="00CC24B5">
        <w:rPr>
          <w:rFonts w:ascii="Calibri" w:eastAsia="Calibri" w:hAnsi="Calibri" w:cs="Calibri"/>
        </w:rPr>
        <w:t>Concluzie: Situatia factorului de nesimetrie este preponderent conforma. Cele 73 de posturi (1,7%) cu depasiri necesita investigatii privind distributia neuniforma a sarcinilor monofazate pe faze si echilibrarea acestora prin redistribuirea consumatorilor sau utilizarea de compensatoare statice de nesimetrie.</w:t>
      </w:r>
    </w:p>
    <w:p w:rsidR="00CC24B5" w:rsidRPr="00CC24B5" w:rsidRDefault="00CC24B5" w:rsidP="00CC24B5">
      <w:pPr>
        <w:spacing w:after="120" w:line="240" w:lineRule="auto"/>
        <w:jc w:val="both"/>
        <w:rPr>
          <w:rFonts w:ascii="Arial" w:eastAsia="Arial" w:hAnsi="Arial" w:cs="Arial"/>
        </w:rPr>
      </w:pPr>
      <w:r w:rsidRPr="00CC24B5">
        <w:rPr>
          <w:rFonts w:ascii="Calibri" w:eastAsia="Calibri" w:hAnsi="Calibri" w:cs="Calibri"/>
        </w:rPr>
        <w:br w:type="page"/>
      </w:r>
    </w:p>
    <w:p w:rsidR="00CC24B5" w:rsidRPr="00CC24B5" w:rsidRDefault="00CC24B5" w:rsidP="00CC24B5">
      <w:pPr>
        <w:keepNext/>
        <w:spacing w:before="280" w:after="120" w:line="240" w:lineRule="auto"/>
        <w:outlineLvl w:val="1"/>
        <w:rPr>
          <w:rFonts w:ascii="Arial" w:eastAsia="Arial" w:hAnsi="Arial" w:cs="Arial"/>
          <w:b/>
          <w:bCs/>
          <w:color w:val="2E75B6"/>
          <w:sz w:val="28"/>
          <w:szCs w:val="28"/>
        </w:rPr>
      </w:pPr>
      <w:bookmarkStart w:id="11" w:name="_Toc232168947"/>
      <w:r w:rsidRPr="00CC24B5">
        <w:rPr>
          <w:rFonts w:ascii="Calibri" w:eastAsia="Calibri" w:hAnsi="Calibri" w:cs="Calibri"/>
          <w:b/>
          <w:bCs/>
          <w:color w:val="2E75B6"/>
          <w:sz w:val="28"/>
          <w:szCs w:val="28"/>
        </w:rPr>
        <w:lastRenderedPageBreak/>
        <w:t>3.1.12 Analiza goluri de tensiune – Tabel 5 ANRE</w:t>
      </w:r>
      <w:bookmarkEnd w:id="11"/>
    </w:p>
    <w:p w:rsidR="00CC24B5" w:rsidRPr="00CC24B5" w:rsidRDefault="00CC24B5" w:rsidP="00CC24B5">
      <w:pPr>
        <w:spacing w:after="120" w:line="240" w:lineRule="auto"/>
        <w:jc w:val="both"/>
        <w:rPr>
          <w:rFonts w:ascii="Arial" w:eastAsia="Arial" w:hAnsi="Arial" w:cs="Arial"/>
        </w:rPr>
      </w:pPr>
      <w:r w:rsidRPr="00CC24B5">
        <w:rPr>
          <w:rFonts w:ascii="Calibri" w:eastAsia="Calibri" w:hAnsi="Calibri" w:cs="Calibri"/>
        </w:rPr>
        <w:t>Evenimentele sunt clasificate pe 5 clase de tensiune reziduala si 5 intervale de durata (de la 10 ms la 60.000 ms).</w:t>
      </w:r>
    </w:p>
    <w:p w:rsidR="00CC24B5" w:rsidRPr="00CC24B5" w:rsidRDefault="00CC24B5" w:rsidP="00CC24B5">
      <w:pPr>
        <w:spacing w:before="40" w:after="240" w:line="240" w:lineRule="auto"/>
        <w:jc w:val="center"/>
        <w:rPr>
          <w:rFonts w:ascii="Arial" w:eastAsia="Arial" w:hAnsi="Arial" w:cs="Arial"/>
        </w:rPr>
      </w:pPr>
      <w:r w:rsidRPr="00CC24B5">
        <w:rPr>
          <w:rFonts w:ascii="Calibri" w:eastAsia="Calibri" w:hAnsi="Calibri" w:cs="Calibri"/>
          <w:i/>
          <w:iCs/>
          <w:color w:val="595959"/>
          <w:sz w:val="20"/>
        </w:rPr>
        <w:t>Figura 3.2 – Distributia evenimentelor de cadere de tensiune pe clase de tensiune reziduala si durate</w:t>
      </w:r>
    </w:p>
    <w:tbl>
      <w:tblPr>
        <w:tblW w:w="10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748"/>
        <w:gridCol w:w="1258"/>
        <w:gridCol w:w="1258"/>
        <w:gridCol w:w="1248"/>
        <w:gridCol w:w="1248"/>
        <w:gridCol w:w="1248"/>
        <w:gridCol w:w="1410"/>
        <w:gridCol w:w="942"/>
      </w:tblGrid>
      <w:tr w:rsidR="00CC24B5" w:rsidRPr="00CC24B5" w:rsidTr="00CC24B5">
        <w:trPr>
          <w:tblHeader/>
        </w:trPr>
        <w:tc>
          <w:tcPr>
            <w:tcW w:w="1800" w:type="dxa"/>
            <w:tcBorders>
              <w:top w:val="single" w:sz="1" w:space="0" w:color="BFBFBF"/>
              <w:left w:val="single" w:sz="1" w:space="0" w:color="BFBFBF"/>
              <w:bottom w:val="single" w:sz="1" w:space="0" w:color="BFBFBF"/>
              <w:right w:val="single" w:sz="1" w:space="0" w:color="BFBFBF"/>
            </w:tcBorders>
            <w:shd w:val="clear" w:color="auto" w:fill="2E75B6"/>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b/>
                <w:bCs/>
                <w:color w:val="FFFFFF"/>
                <w:sz w:val="20"/>
                <w:szCs w:val="20"/>
              </w:rPr>
              <w:t>Tensiune reziduala (% Un)</w:t>
            </w:r>
          </w:p>
        </w:tc>
        <w:tc>
          <w:tcPr>
            <w:tcW w:w="1300" w:type="dxa"/>
            <w:tcBorders>
              <w:top w:val="single" w:sz="1" w:space="0" w:color="BFBFBF"/>
              <w:left w:val="single" w:sz="1" w:space="0" w:color="BFBFBF"/>
              <w:bottom w:val="single" w:sz="1" w:space="0" w:color="BFBFBF"/>
              <w:right w:val="single" w:sz="1" w:space="0" w:color="BFBFBF"/>
            </w:tcBorders>
            <w:shd w:val="clear" w:color="auto" w:fill="2E75B6"/>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b/>
                <w:bCs/>
                <w:color w:val="FFFFFF"/>
                <w:sz w:val="20"/>
                <w:szCs w:val="20"/>
              </w:rPr>
              <w:t>10–200 ms</w:t>
            </w:r>
          </w:p>
        </w:tc>
        <w:tc>
          <w:tcPr>
            <w:tcW w:w="1300" w:type="dxa"/>
            <w:tcBorders>
              <w:top w:val="single" w:sz="1" w:space="0" w:color="BFBFBF"/>
              <w:left w:val="single" w:sz="1" w:space="0" w:color="BFBFBF"/>
              <w:bottom w:val="single" w:sz="1" w:space="0" w:color="BFBFBF"/>
              <w:right w:val="single" w:sz="1" w:space="0" w:color="BFBFBF"/>
            </w:tcBorders>
            <w:shd w:val="clear" w:color="auto" w:fill="2E75B6"/>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b/>
                <w:bCs/>
                <w:color w:val="FFFFFF"/>
                <w:sz w:val="20"/>
                <w:szCs w:val="20"/>
              </w:rPr>
              <w:t>200–500 ms</w:t>
            </w:r>
          </w:p>
        </w:tc>
        <w:tc>
          <w:tcPr>
            <w:tcW w:w="1300" w:type="dxa"/>
            <w:tcBorders>
              <w:top w:val="single" w:sz="1" w:space="0" w:color="BFBFBF"/>
              <w:left w:val="single" w:sz="1" w:space="0" w:color="BFBFBF"/>
              <w:bottom w:val="single" w:sz="1" w:space="0" w:color="BFBFBF"/>
              <w:right w:val="single" w:sz="1" w:space="0" w:color="BFBFBF"/>
            </w:tcBorders>
            <w:shd w:val="clear" w:color="auto" w:fill="2E75B6"/>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b/>
                <w:bCs/>
                <w:color w:val="FFFFFF"/>
                <w:sz w:val="20"/>
                <w:szCs w:val="20"/>
              </w:rPr>
              <w:t>500–1000 ms</w:t>
            </w:r>
          </w:p>
        </w:tc>
        <w:tc>
          <w:tcPr>
            <w:tcW w:w="1300" w:type="dxa"/>
            <w:tcBorders>
              <w:top w:val="single" w:sz="1" w:space="0" w:color="BFBFBF"/>
              <w:left w:val="single" w:sz="1" w:space="0" w:color="BFBFBF"/>
              <w:bottom w:val="single" w:sz="1" w:space="0" w:color="BFBFBF"/>
              <w:right w:val="single" w:sz="1" w:space="0" w:color="BFBFBF"/>
            </w:tcBorders>
            <w:shd w:val="clear" w:color="auto" w:fill="2E75B6"/>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b/>
                <w:bCs/>
                <w:color w:val="FFFFFF"/>
                <w:sz w:val="20"/>
                <w:szCs w:val="20"/>
              </w:rPr>
              <w:t>1000–5000 ms</w:t>
            </w:r>
          </w:p>
        </w:tc>
        <w:tc>
          <w:tcPr>
            <w:tcW w:w="1300" w:type="dxa"/>
            <w:tcBorders>
              <w:top w:val="single" w:sz="1" w:space="0" w:color="BFBFBF"/>
              <w:left w:val="single" w:sz="1" w:space="0" w:color="BFBFBF"/>
              <w:bottom w:val="single" w:sz="1" w:space="0" w:color="BFBFBF"/>
              <w:right w:val="single" w:sz="1" w:space="0" w:color="BFBFBF"/>
            </w:tcBorders>
            <w:shd w:val="clear" w:color="auto" w:fill="2E75B6"/>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b/>
                <w:bCs/>
                <w:color w:val="FFFFFF"/>
                <w:sz w:val="20"/>
                <w:szCs w:val="20"/>
              </w:rPr>
              <w:t>5000–60000 ms</w:t>
            </w:r>
          </w:p>
        </w:tc>
        <w:tc>
          <w:tcPr>
            <w:tcW w:w="1430" w:type="dxa"/>
            <w:tcBorders>
              <w:top w:val="single" w:sz="1" w:space="0" w:color="BFBFBF"/>
              <w:left w:val="single" w:sz="1" w:space="0" w:color="BFBFBF"/>
              <w:bottom w:val="single" w:sz="1" w:space="0" w:color="BFBFBF"/>
              <w:right w:val="single" w:sz="1" w:space="0" w:color="BFBFBF"/>
            </w:tcBorders>
            <w:shd w:val="clear" w:color="auto" w:fill="2E75B6"/>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b/>
                <w:bCs/>
                <w:color w:val="FFFFFF"/>
                <w:sz w:val="20"/>
                <w:szCs w:val="20"/>
              </w:rPr>
              <w:t>Total evenimente</w:t>
            </w:r>
          </w:p>
        </w:tc>
        <w:tc>
          <w:tcPr>
            <w:tcW w:w="630" w:type="dxa"/>
            <w:tcBorders>
              <w:top w:val="single" w:sz="1" w:space="0" w:color="BFBFBF"/>
              <w:left w:val="single" w:sz="1" w:space="0" w:color="BFBFBF"/>
              <w:bottom w:val="single" w:sz="1" w:space="0" w:color="BFBFBF"/>
              <w:right w:val="single" w:sz="1" w:space="0" w:color="BFBFBF"/>
            </w:tcBorders>
            <w:shd w:val="clear" w:color="auto" w:fill="2E75B6"/>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b/>
                <w:bCs/>
                <w:color w:val="FFFFFF"/>
                <w:sz w:val="20"/>
                <w:szCs w:val="20"/>
              </w:rPr>
              <w:t>Pondere</w:t>
            </w:r>
          </w:p>
        </w:tc>
      </w:tr>
      <w:tr w:rsidR="00CC24B5" w:rsidRPr="00CC24B5" w:rsidTr="00CC24B5">
        <w:tc>
          <w:tcPr>
            <w:tcW w:w="1800" w:type="dxa"/>
            <w:tcBorders>
              <w:top w:val="single" w:sz="1" w:space="0" w:color="BFBFBF"/>
              <w:left w:val="single" w:sz="1" w:space="0" w:color="BFBFBF"/>
              <w:bottom w:val="single" w:sz="1" w:space="0" w:color="BFBFBF"/>
              <w:right w:val="single" w:sz="1" w:space="0" w:color="BFBFBF"/>
            </w:tcBorders>
            <w:shd w:val="clear" w:color="auto" w:fill="FFFFFF"/>
            <w:tcMar>
              <w:top w:w="60" w:type="dxa"/>
              <w:left w:w="120" w:type="dxa"/>
              <w:bottom w:w="60" w:type="dxa"/>
              <w:right w:w="120" w:type="dxa"/>
            </w:tcMar>
          </w:tcPr>
          <w:p w:rsidR="00CC24B5" w:rsidRPr="00CC24B5" w:rsidRDefault="00CC24B5" w:rsidP="00CC24B5">
            <w:pPr>
              <w:spacing w:before="40" w:after="40" w:line="240" w:lineRule="auto"/>
              <w:rPr>
                <w:rFonts w:ascii="Arial" w:eastAsia="Arial" w:hAnsi="Arial" w:cs="Arial"/>
              </w:rPr>
            </w:pPr>
            <w:r w:rsidRPr="00CC24B5">
              <w:rPr>
                <w:rFonts w:ascii="Calibri" w:eastAsia="Calibri" w:hAnsi="Calibri" w:cs="Calibri"/>
                <w:sz w:val="20"/>
                <w:szCs w:val="20"/>
              </w:rPr>
              <w:t>90 &gt; u ≥ 80%</w:t>
            </w:r>
          </w:p>
        </w:tc>
        <w:tc>
          <w:tcPr>
            <w:tcW w:w="1300" w:type="dxa"/>
            <w:tcBorders>
              <w:top w:val="single" w:sz="1" w:space="0" w:color="BFBFBF"/>
              <w:left w:val="single" w:sz="1" w:space="0" w:color="BFBFBF"/>
              <w:bottom w:val="single" w:sz="1" w:space="0" w:color="BFBFBF"/>
              <w:right w:val="single" w:sz="1" w:space="0" w:color="BFBFBF"/>
            </w:tcBorders>
            <w:shd w:val="clear" w:color="auto" w:fill="FFFFFF"/>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573.029</w:t>
            </w:r>
          </w:p>
        </w:tc>
        <w:tc>
          <w:tcPr>
            <w:tcW w:w="1300" w:type="dxa"/>
            <w:tcBorders>
              <w:top w:val="single" w:sz="1" w:space="0" w:color="BFBFBF"/>
              <w:left w:val="single" w:sz="1" w:space="0" w:color="BFBFBF"/>
              <w:bottom w:val="single" w:sz="1" w:space="0" w:color="BFBFBF"/>
              <w:right w:val="single" w:sz="1" w:space="0" w:color="BFBFBF"/>
            </w:tcBorders>
            <w:shd w:val="clear" w:color="auto" w:fill="FFFFFF"/>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29.344</w:t>
            </w:r>
          </w:p>
        </w:tc>
        <w:tc>
          <w:tcPr>
            <w:tcW w:w="1300" w:type="dxa"/>
            <w:tcBorders>
              <w:top w:val="single" w:sz="1" w:space="0" w:color="BFBFBF"/>
              <w:left w:val="single" w:sz="1" w:space="0" w:color="BFBFBF"/>
              <w:bottom w:val="single" w:sz="1" w:space="0" w:color="BFBFBF"/>
              <w:right w:val="single" w:sz="1" w:space="0" w:color="BFBFBF"/>
            </w:tcBorders>
            <w:shd w:val="clear" w:color="auto" w:fill="FFFFFF"/>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7.879</w:t>
            </w:r>
          </w:p>
        </w:tc>
        <w:tc>
          <w:tcPr>
            <w:tcW w:w="1300" w:type="dxa"/>
            <w:tcBorders>
              <w:top w:val="single" w:sz="1" w:space="0" w:color="BFBFBF"/>
              <w:left w:val="single" w:sz="1" w:space="0" w:color="BFBFBF"/>
              <w:bottom w:val="single" w:sz="1" w:space="0" w:color="BFBFBF"/>
              <w:right w:val="single" w:sz="1" w:space="0" w:color="BFBFBF"/>
            </w:tcBorders>
            <w:shd w:val="clear" w:color="auto" w:fill="FFFFFF"/>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11.895</w:t>
            </w:r>
          </w:p>
        </w:tc>
        <w:tc>
          <w:tcPr>
            <w:tcW w:w="1300" w:type="dxa"/>
            <w:tcBorders>
              <w:top w:val="single" w:sz="1" w:space="0" w:color="BFBFBF"/>
              <w:left w:val="single" w:sz="1" w:space="0" w:color="BFBFBF"/>
              <w:bottom w:val="single" w:sz="1" w:space="0" w:color="BFBFBF"/>
              <w:right w:val="single" w:sz="1" w:space="0" w:color="BFBFBF"/>
            </w:tcBorders>
            <w:shd w:val="clear" w:color="auto" w:fill="FFFFFF"/>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6.467</w:t>
            </w:r>
          </w:p>
        </w:tc>
        <w:tc>
          <w:tcPr>
            <w:tcW w:w="1430" w:type="dxa"/>
            <w:tcBorders>
              <w:top w:val="single" w:sz="1" w:space="0" w:color="BFBFBF"/>
              <w:left w:val="single" w:sz="1" w:space="0" w:color="BFBFBF"/>
              <w:bottom w:val="single" w:sz="1" w:space="0" w:color="BFBFBF"/>
              <w:right w:val="single" w:sz="1" w:space="0" w:color="BFBFBF"/>
            </w:tcBorders>
            <w:shd w:val="clear" w:color="auto" w:fill="FFFFFF"/>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628.614</w:t>
            </w:r>
          </w:p>
        </w:tc>
        <w:tc>
          <w:tcPr>
            <w:tcW w:w="630" w:type="dxa"/>
            <w:tcBorders>
              <w:top w:val="single" w:sz="1" w:space="0" w:color="BFBFBF"/>
              <w:left w:val="single" w:sz="1" w:space="0" w:color="BFBFBF"/>
              <w:bottom w:val="single" w:sz="1" w:space="0" w:color="BFBFBF"/>
              <w:right w:val="single" w:sz="1" w:space="0" w:color="BFBFBF"/>
            </w:tcBorders>
            <w:shd w:val="clear" w:color="auto" w:fill="FFFFFF"/>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58,87%</w:t>
            </w:r>
          </w:p>
        </w:tc>
      </w:tr>
      <w:tr w:rsidR="00CC24B5" w:rsidRPr="00CC24B5" w:rsidTr="00CC24B5">
        <w:tc>
          <w:tcPr>
            <w:tcW w:w="1800" w:type="dxa"/>
            <w:tcBorders>
              <w:top w:val="single" w:sz="1" w:space="0" w:color="BFBFBF"/>
              <w:left w:val="single" w:sz="1" w:space="0" w:color="BFBFBF"/>
              <w:bottom w:val="single" w:sz="1" w:space="0" w:color="BFBFBF"/>
              <w:right w:val="single" w:sz="1" w:space="0" w:color="BFBFBF"/>
            </w:tcBorders>
            <w:shd w:val="clear" w:color="auto" w:fill="F2F2F2"/>
            <w:tcMar>
              <w:top w:w="60" w:type="dxa"/>
              <w:left w:w="120" w:type="dxa"/>
              <w:bottom w:w="60" w:type="dxa"/>
              <w:right w:w="120" w:type="dxa"/>
            </w:tcMar>
          </w:tcPr>
          <w:p w:rsidR="00CC24B5" w:rsidRPr="00CC24B5" w:rsidRDefault="00CC24B5" w:rsidP="00CC24B5">
            <w:pPr>
              <w:spacing w:before="40" w:after="40" w:line="240" w:lineRule="auto"/>
              <w:rPr>
                <w:rFonts w:ascii="Arial" w:eastAsia="Arial" w:hAnsi="Arial" w:cs="Arial"/>
              </w:rPr>
            </w:pPr>
            <w:r w:rsidRPr="00CC24B5">
              <w:rPr>
                <w:rFonts w:ascii="Calibri" w:eastAsia="Calibri" w:hAnsi="Calibri" w:cs="Calibri"/>
                <w:sz w:val="20"/>
                <w:szCs w:val="20"/>
              </w:rPr>
              <w:t>80 &gt; u ≥ 70%</w:t>
            </w:r>
          </w:p>
        </w:tc>
        <w:tc>
          <w:tcPr>
            <w:tcW w:w="1300" w:type="dxa"/>
            <w:tcBorders>
              <w:top w:val="single" w:sz="1" w:space="0" w:color="BFBFBF"/>
              <w:left w:val="single" w:sz="1" w:space="0" w:color="BFBFBF"/>
              <w:bottom w:val="single" w:sz="1" w:space="0" w:color="BFBFBF"/>
              <w:right w:val="single" w:sz="1" w:space="0" w:color="BFBFBF"/>
            </w:tcBorders>
            <w:shd w:val="clear" w:color="auto" w:fill="F2F2F2"/>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104.586</w:t>
            </w:r>
          </w:p>
        </w:tc>
        <w:tc>
          <w:tcPr>
            <w:tcW w:w="1300" w:type="dxa"/>
            <w:tcBorders>
              <w:top w:val="single" w:sz="1" w:space="0" w:color="BFBFBF"/>
              <w:left w:val="single" w:sz="1" w:space="0" w:color="BFBFBF"/>
              <w:bottom w:val="single" w:sz="1" w:space="0" w:color="BFBFBF"/>
              <w:right w:val="single" w:sz="1" w:space="0" w:color="BFBFBF"/>
            </w:tcBorders>
            <w:shd w:val="clear" w:color="auto" w:fill="F2F2F2"/>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15.236</w:t>
            </w:r>
          </w:p>
        </w:tc>
        <w:tc>
          <w:tcPr>
            <w:tcW w:w="1300" w:type="dxa"/>
            <w:tcBorders>
              <w:top w:val="single" w:sz="1" w:space="0" w:color="BFBFBF"/>
              <w:left w:val="single" w:sz="1" w:space="0" w:color="BFBFBF"/>
              <w:bottom w:val="single" w:sz="1" w:space="0" w:color="BFBFBF"/>
              <w:right w:val="single" w:sz="1" w:space="0" w:color="BFBFBF"/>
            </w:tcBorders>
            <w:shd w:val="clear" w:color="auto" w:fill="F2F2F2"/>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6.808</w:t>
            </w:r>
          </w:p>
        </w:tc>
        <w:tc>
          <w:tcPr>
            <w:tcW w:w="1300" w:type="dxa"/>
            <w:tcBorders>
              <w:top w:val="single" w:sz="1" w:space="0" w:color="BFBFBF"/>
              <w:left w:val="single" w:sz="1" w:space="0" w:color="BFBFBF"/>
              <w:bottom w:val="single" w:sz="1" w:space="0" w:color="BFBFBF"/>
              <w:right w:val="single" w:sz="1" w:space="0" w:color="BFBFBF"/>
            </w:tcBorders>
            <w:shd w:val="clear" w:color="auto" w:fill="F2F2F2"/>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3.358</w:t>
            </w:r>
          </w:p>
        </w:tc>
        <w:tc>
          <w:tcPr>
            <w:tcW w:w="1300" w:type="dxa"/>
            <w:tcBorders>
              <w:top w:val="single" w:sz="1" w:space="0" w:color="BFBFBF"/>
              <w:left w:val="single" w:sz="1" w:space="0" w:color="BFBFBF"/>
              <w:bottom w:val="single" w:sz="1" w:space="0" w:color="BFBFBF"/>
              <w:right w:val="single" w:sz="1" w:space="0" w:color="BFBFBF"/>
            </w:tcBorders>
            <w:shd w:val="clear" w:color="auto" w:fill="F2F2F2"/>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1.398</w:t>
            </w:r>
          </w:p>
        </w:tc>
        <w:tc>
          <w:tcPr>
            <w:tcW w:w="1430" w:type="dxa"/>
            <w:tcBorders>
              <w:top w:val="single" w:sz="1" w:space="0" w:color="BFBFBF"/>
              <w:left w:val="single" w:sz="1" w:space="0" w:color="BFBFBF"/>
              <w:bottom w:val="single" w:sz="1" w:space="0" w:color="BFBFBF"/>
              <w:right w:val="single" w:sz="1" w:space="0" w:color="BFBFBF"/>
            </w:tcBorders>
            <w:shd w:val="clear" w:color="auto" w:fill="F2F2F2"/>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131.386</w:t>
            </w:r>
          </w:p>
        </w:tc>
        <w:tc>
          <w:tcPr>
            <w:tcW w:w="630" w:type="dxa"/>
            <w:tcBorders>
              <w:top w:val="single" w:sz="1" w:space="0" w:color="BFBFBF"/>
              <w:left w:val="single" w:sz="1" w:space="0" w:color="BFBFBF"/>
              <w:bottom w:val="single" w:sz="1" w:space="0" w:color="BFBFBF"/>
              <w:right w:val="single" w:sz="1" w:space="0" w:color="BFBFBF"/>
            </w:tcBorders>
            <w:shd w:val="clear" w:color="auto" w:fill="F2F2F2"/>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12,31%</w:t>
            </w:r>
          </w:p>
        </w:tc>
      </w:tr>
      <w:tr w:rsidR="00CC24B5" w:rsidRPr="00CC24B5" w:rsidTr="00CC24B5">
        <w:tc>
          <w:tcPr>
            <w:tcW w:w="1800" w:type="dxa"/>
            <w:tcBorders>
              <w:top w:val="single" w:sz="1" w:space="0" w:color="BFBFBF"/>
              <w:left w:val="single" w:sz="1" w:space="0" w:color="BFBFBF"/>
              <w:bottom w:val="single" w:sz="1" w:space="0" w:color="BFBFBF"/>
              <w:right w:val="single" w:sz="1" w:space="0" w:color="BFBFBF"/>
            </w:tcBorders>
            <w:shd w:val="clear" w:color="auto" w:fill="FFFFFF"/>
            <w:tcMar>
              <w:top w:w="60" w:type="dxa"/>
              <w:left w:w="120" w:type="dxa"/>
              <w:bottom w:w="60" w:type="dxa"/>
              <w:right w:w="120" w:type="dxa"/>
            </w:tcMar>
          </w:tcPr>
          <w:p w:rsidR="00CC24B5" w:rsidRPr="00CC24B5" w:rsidRDefault="00CC24B5" w:rsidP="00CC24B5">
            <w:pPr>
              <w:spacing w:before="40" w:after="40" w:line="240" w:lineRule="auto"/>
              <w:rPr>
                <w:rFonts w:ascii="Arial" w:eastAsia="Arial" w:hAnsi="Arial" w:cs="Arial"/>
              </w:rPr>
            </w:pPr>
            <w:r w:rsidRPr="00CC24B5">
              <w:rPr>
                <w:rFonts w:ascii="Calibri" w:eastAsia="Calibri" w:hAnsi="Calibri" w:cs="Calibri"/>
                <w:sz w:val="20"/>
                <w:szCs w:val="20"/>
              </w:rPr>
              <w:t>70 &gt; u ≥ 40%</w:t>
            </w:r>
          </w:p>
        </w:tc>
        <w:tc>
          <w:tcPr>
            <w:tcW w:w="1300" w:type="dxa"/>
            <w:tcBorders>
              <w:top w:val="single" w:sz="1" w:space="0" w:color="BFBFBF"/>
              <w:left w:val="single" w:sz="1" w:space="0" w:color="BFBFBF"/>
              <w:bottom w:val="single" w:sz="1" w:space="0" w:color="BFBFBF"/>
              <w:right w:val="single" w:sz="1" w:space="0" w:color="BFBFBF"/>
            </w:tcBorders>
            <w:shd w:val="clear" w:color="auto" w:fill="FFFFFF"/>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88.240</w:t>
            </w:r>
          </w:p>
        </w:tc>
        <w:tc>
          <w:tcPr>
            <w:tcW w:w="1300" w:type="dxa"/>
            <w:tcBorders>
              <w:top w:val="single" w:sz="1" w:space="0" w:color="BFBFBF"/>
              <w:left w:val="single" w:sz="1" w:space="0" w:color="BFBFBF"/>
              <w:bottom w:val="single" w:sz="1" w:space="0" w:color="BFBFBF"/>
              <w:right w:val="single" w:sz="1" w:space="0" w:color="BFBFBF"/>
            </w:tcBorders>
            <w:shd w:val="clear" w:color="auto" w:fill="FFFFFF"/>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32.896</w:t>
            </w:r>
          </w:p>
        </w:tc>
        <w:tc>
          <w:tcPr>
            <w:tcW w:w="1300" w:type="dxa"/>
            <w:tcBorders>
              <w:top w:val="single" w:sz="1" w:space="0" w:color="BFBFBF"/>
              <w:left w:val="single" w:sz="1" w:space="0" w:color="BFBFBF"/>
              <w:bottom w:val="single" w:sz="1" w:space="0" w:color="BFBFBF"/>
              <w:right w:val="single" w:sz="1" w:space="0" w:color="BFBFBF"/>
            </w:tcBorders>
            <w:shd w:val="clear" w:color="auto" w:fill="FFFFFF"/>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8.543</w:t>
            </w:r>
          </w:p>
        </w:tc>
        <w:tc>
          <w:tcPr>
            <w:tcW w:w="1300" w:type="dxa"/>
            <w:tcBorders>
              <w:top w:val="single" w:sz="1" w:space="0" w:color="BFBFBF"/>
              <w:left w:val="single" w:sz="1" w:space="0" w:color="BFBFBF"/>
              <w:bottom w:val="single" w:sz="1" w:space="0" w:color="BFBFBF"/>
              <w:right w:val="single" w:sz="1" w:space="0" w:color="BFBFBF"/>
            </w:tcBorders>
            <w:shd w:val="clear" w:color="auto" w:fill="FFFFFF"/>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2.520</w:t>
            </w:r>
          </w:p>
        </w:tc>
        <w:tc>
          <w:tcPr>
            <w:tcW w:w="1300" w:type="dxa"/>
            <w:tcBorders>
              <w:top w:val="single" w:sz="1" w:space="0" w:color="BFBFBF"/>
              <w:left w:val="single" w:sz="1" w:space="0" w:color="BFBFBF"/>
              <w:bottom w:val="single" w:sz="1" w:space="0" w:color="BFBFBF"/>
              <w:right w:val="single" w:sz="1" w:space="0" w:color="BFBFBF"/>
            </w:tcBorders>
            <w:shd w:val="clear" w:color="auto" w:fill="FFFFFF"/>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1.290</w:t>
            </w:r>
          </w:p>
        </w:tc>
        <w:tc>
          <w:tcPr>
            <w:tcW w:w="1430" w:type="dxa"/>
            <w:tcBorders>
              <w:top w:val="single" w:sz="1" w:space="0" w:color="BFBFBF"/>
              <w:left w:val="single" w:sz="1" w:space="0" w:color="BFBFBF"/>
              <w:bottom w:val="single" w:sz="1" w:space="0" w:color="BFBFBF"/>
              <w:right w:val="single" w:sz="1" w:space="0" w:color="BFBFBF"/>
            </w:tcBorders>
            <w:shd w:val="clear" w:color="auto" w:fill="FFFFFF"/>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133.489</w:t>
            </w:r>
          </w:p>
        </w:tc>
        <w:tc>
          <w:tcPr>
            <w:tcW w:w="630" w:type="dxa"/>
            <w:tcBorders>
              <w:top w:val="single" w:sz="1" w:space="0" w:color="BFBFBF"/>
              <w:left w:val="single" w:sz="1" w:space="0" w:color="BFBFBF"/>
              <w:bottom w:val="single" w:sz="1" w:space="0" w:color="BFBFBF"/>
              <w:right w:val="single" w:sz="1" w:space="0" w:color="BFBFBF"/>
            </w:tcBorders>
            <w:shd w:val="clear" w:color="auto" w:fill="FFFFFF"/>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12,51%</w:t>
            </w:r>
          </w:p>
        </w:tc>
      </w:tr>
      <w:tr w:rsidR="00CC24B5" w:rsidRPr="00CC24B5" w:rsidTr="00CC24B5">
        <w:tc>
          <w:tcPr>
            <w:tcW w:w="1800" w:type="dxa"/>
            <w:tcBorders>
              <w:top w:val="single" w:sz="1" w:space="0" w:color="BFBFBF"/>
              <w:left w:val="single" w:sz="1" w:space="0" w:color="BFBFBF"/>
              <w:bottom w:val="single" w:sz="1" w:space="0" w:color="BFBFBF"/>
              <w:right w:val="single" w:sz="1" w:space="0" w:color="BFBFBF"/>
            </w:tcBorders>
            <w:shd w:val="clear" w:color="auto" w:fill="F2F2F2"/>
            <w:tcMar>
              <w:top w:w="60" w:type="dxa"/>
              <w:left w:w="120" w:type="dxa"/>
              <w:bottom w:w="60" w:type="dxa"/>
              <w:right w:w="120" w:type="dxa"/>
            </w:tcMar>
          </w:tcPr>
          <w:p w:rsidR="00CC24B5" w:rsidRPr="00CC24B5" w:rsidRDefault="00CC24B5" w:rsidP="00CC24B5">
            <w:pPr>
              <w:spacing w:before="40" w:after="40" w:line="240" w:lineRule="auto"/>
              <w:rPr>
                <w:rFonts w:ascii="Arial" w:eastAsia="Arial" w:hAnsi="Arial" w:cs="Arial"/>
              </w:rPr>
            </w:pPr>
            <w:r w:rsidRPr="00CC24B5">
              <w:rPr>
                <w:rFonts w:ascii="Calibri" w:eastAsia="Calibri" w:hAnsi="Calibri" w:cs="Calibri"/>
                <w:sz w:val="20"/>
                <w:szCs w:val="20"/>
              </w:rPr>
              <w:t>40 &gt; u ≥ 5%</w:t>
            </w:r>
          </w:p>
        </w:tc>
        <w:tc>
          <w:tcPr>
            <w:tcW w:w="1300" w:type="dxa"/>
            <w:tcBorders>
              <w:top w:val="single" w:sz="1" w:space="0" w:color="BFBFBF"/>
              <w:left w:val="single" w:sz="1" w:space="0" w:color="BFBFBF"/>
              <w:bottom w:val="single" w:sz="1" w:space="0" w:color="BFBFBF"/>
              <w:right w:val="single" w:sz="1" w:space="0" w:color="BFBFBF"/>
            </w:tcBorders>
            <w:shd w:val="clear" w:color="auto" w:fill="F2F2F2"/>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23.891</w:t>
            </w:r>
          </w:p>
        </w:tc>
        <w:tc>
          <w:tcPr>
            <w:tcW w:w="1300" w:type="dxa"/>
            <w:tcBorders>
              <w:top w:val="single" w:sz="1" w:space="0" w:color="BFBFBF"/>
              <w:left w:val="single" w:sz="1" w:space="0" w:color="BFBFBF"/>
              <w:bottom w:val="single" w:sz="1" w:space="0" w:color="BFBFBF"/>
              <w:right w:val="single" w:sz="1" w:space="0" w:color="BFBFBF"/>
            </w:tcBorders>
            <w:shd w:val="clear" w:color="auto" w:fill="F2F2F2"/>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21.967</w:t>
            </w:r>
          </w:p>
        </w:tc>
        <w:tc>
          <w:tcPr>
            <w:tcW w:w="1300" w:type="dxa"/>
            <w:tcBorders>
              <w:top w:val="single" w:sz="1" w:space="0" w:color="BFBFBF"/>
              <w:left w:val="single" w:sz="1" w:space="0" w:color="BFBFBF"/>
              <w:bottom w:val="single" w:sz="1" w:space="0" w:color="BFBFBF"/>
              <w:right w:val="single" w:sz="1" w:space="0" w:color="BFBFBF"/>
            </w:tcBorders>
            <w:shd w:val="clear" w:color="auto" w:fill="F2F2F2"/>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5.295</w:t>
            </w:r>
          </w:p>
        </w:tc>
        <w:tc>
          <w:tcPr>
            <w:tcW w:w="1300" w:type="dxa"/>
            <w:tcBorders>
              <w:top w:val="single" w:sz="1" w:space="0" w:color="BFBFBF"/>
              <w:left w:val="single" w:sz="1" w:space="0" w:color="BFBFBF"/>
              <w:bottom w:val="single" w:sz="1" w:space="0" w:color="BFBFBF"/>
              <w:right w:val="single" w:sz="1" w:space="0" w:color="BFBFBF"/>
            </w:tcBorders>
            <w:shd w:val="clear" w:color="auto" w:fill="F2F2F2"/>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2.006</w:t>
            </w:r>
          </w:p>
        </w:tc>
        <w:tc>
          <w:tcPr>
            <w:tcW w:w="1300" w:type="dxa"/>
            <w:tcBorders>
              <w:top w:val="single" w:sz="1" w:space="0" w:color="BFBFBF"/>
              <w:left w:val="single" w:sz="1" w:space="0" w:color="BFBFBF"/>
              <w:bottom w:val="single" w:sz="1" w:space="0" w:color="BFBFBF"/>
              <w:right w:val="single" w:sz="1" w:space="0" w:color="BFBFBF"/>
            </w:tcBorders>
            <w:shd w:val="clear" w:color="auto" w:fill="F2F2F2"/>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1.097</w:t>
            </w:r>
          </w:p>
        </w:tc>
        <w:tc>
          <w:tcPr>
            <w:tcW w:w="1430" w:type="dxa"/>
            <w:tcBorders>
              <w:top w:val="single" w:sz="1" w:space="0" w:color="BFBFBF"/>
              <w:left w:val="single" w:sz="1" w:space="0" w:color="BFBFBF"/>
              <w:bottom w:val="single" w:sz="1" w:space="0" w:color="BFBFBF"/>
              <w:right w:val="single" w:sz="1" w:space="0" w:color="BFBFBF"/>
            </w:tcBorders>
            <w:shd w:val="clear" w:color="auto" w:fill="F2F2F2"/>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54.256</w:t>
            </w:r>
          </w:p>
        </w:tc>
        <w:tc>
          <w:tcPr>
            <w:tcW w:w="630" w:type="dxa"/>
            <w:tcBorders>
              <w:top w:val="single" w:sz="1" w:space="0" w:color="BFBFBF"/>
              <w:left w:val="single" w:sz="1" w:space="0" w:color="BFBFBF"/>
              <w:bottom w:val="single" w:sz="1" w:space="0" w:color="BFBFBF"/>
              <w:right w:val="single" w:sz="1" w:space="0" w:color="BFBFBF"/>
            </w:tcBorders>
            <w:shd w:val="clear" w:color="auto" w:fill="F2F2F2"/>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5,08%</w:t>
            </w:r>
          </w:p>
        </w:tc>
      </w:tr>
      <w:tr w:rsidR="00CC24B5" w:rsidRPr="00CC24B5" w:rsidTr="00CC24B5">
        <w:tc>
          <w:tcPr>
            <w:tcW w:w="1800" w:type="dxa"/>
            <w:tcBorders>
              <w:top w:val="single" w:sz="1" w:space="0" w:color="BFBFBF"/>
              <w:left w:val="single" w:sz="1" w:space="0" w:color="BFBFBF"/>
              <w:bottom w:val="single" w:sz="1" w:space="0" w:color="BFBFBF"/>
              <w:right w:val="single" w:sz="1" w:space="0" w:color="BFBFBF"/>
            </w:tcBorders>
            <w:shd w:val="clear" w:color="auto" w:fill="FFFFFF"/>
            <w:tcMar>
              <w:top w:w="60" w:type="dxa"/>
              <w:left w:w="120" w:type="dxa"/>
              <w:bottom w:w="60" w:type="dxa"/>
              <w:right w:w="120" w:type="dxa"/>
            </w:tcMar>
          </w:tcPr>
          <w:p w:rsidR="00CC24B5" w:rsidRPr="00CC24B5" w:rsidRDefault="00CC24B5" w:rsidP="00CC24B5">
            <w:pPr>
              <w:spacing w:before="40" w:after="40" w:line="240" w:lineRule="auto"/>
              <w:rPr>
                <w:rFonts w:ascii="Arial" w:eastAsia="Arial" w:hAnsi="Arial" w:cs="Arial"/>
              </w:rPr>
            </w:pPr>
            <w:r w:rsidRPr="00CC24B5">
              <w:rPr>
                <w:rFonts w:ascii="Calibri" w:eastAsia="Calibri" w:hAnsi="Calibri" w:cs="Calibri"/>
                <w:sz w:val="20"/>
                <w:szCs w:val="20"/>
              </w:rPr>
              <w:t>5 &gt; u (intrerupere)</w:t>
            </w:r>
          </w:p>
        </w:tc>
        <w:tc>
          <w:tcPr>
            <w:tcW w:w="1300" w:type="dxa"/>
            <w:tcBorders>
              <w:top w:val="single" w:sz="1" w:space="0" w:color="BFBFBF"/>
              <w:left w:val="single" w:sz="1" w:space="0" w:color="BFBFBF"/>
              <w:bottom w:val="single" w:sz="1" w:space="0" w:color="BFBFBF"/>
              <w:right w:val="single" w:sz="1" w:space="0" w:color="BFBFBF"/>
            </w:tcBorders>
            <w:shd w:val="clear" w:color="auto" w:fill="FFFFFF"/>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3.388</w:t>
            </w:r>
          </w:p>
        </w:tc>
        <w:tc>
          <w:tcPr>
            <w:tcW w:w="1300" w:type="dxa"/>
            <w:tcBorders>
              <w:top w:val="single" w:sz="1" w:space="0" w:color="BFBFBF"/>
              <w:left w:val="single" w:sz="1" w:space="0" w:color="BFBFBF"/>
              <w:bottom w:val="single" w:sz="1" w:space="0" w:color="BFBFBF"/>
              <w:right w:val="single" w:sz="1" w:space="0" w:color="BFBFBF"/>
            </w:tcBorders>
            <w:shd w:val="clear" w:color="auto" w:fill="FFFFFF"/>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7.091</w:t>
            </w:r>
          </w:p>
        </w:tc>
        <w:tc>
          <w:tcPr>
            <w:tcW w:w="1300" w:type="dxa"/>
            <w:tcBorders>
              <w:top w:val="single" w:sz="1" w:space="0" w:color="BFBFBF"/>
              <w:left w:val="single" w:sz="1" w:space="0" w:color="BFBFBF"/>
              <w:bottom w:val="single" w:sz="1" w:space="0" w:color="BFBFBF"/>
              <w:right w:val="single" w:sz="1" w:space="0" w:color="BFBFBF"/>
            </w:tcBorders>
            <w:shd w:val="clear" w:color="auto" w:fill="FFFFFF"/>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7.286</w:t>
            </w:r>
          </w:p>
        </w:tc>
        <w:tc>
          <w:tcPr>
            <w:tcW w:w="1300" w:type="dxa"/>
            <w:tcBorders>
              <w:top w:val="single" w:sz="1" w:space="0" w:color="BFBFBF"/>
              <w:left w:val="single" w:sz="1" w:space="0" w:color="BFBFBF"/>
              <w:bottom w:val="single" w:sz="1" w:space="0" w:color="BFBFBF"/>
              <w:right w:val="single" w:sz="1" w:space="0" w:color="BFBFBF"/>
            </w:tcBorders>
            <w:shd w:val="clear" w:color="auto" w:fill="FFFFFF"/>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67.060</w:t>
            </w:r>
          </w:p>
        </w:tc>
        <w:tc>
          <w:tcPr>
            <w:tcW w:w="1300" w:type="dxa"/>
            <w:tcBorders>
              <w:top w:val="single" w:sz="1" w:space="0" w:color="BFBFBF"/>
              <w:left w:val="single" w:sz="1" w:space="0" w:color="BFBFBF"/>
              <w:bottom w:val="single" w:sz="1" w:space="0" w:color="BFBFBF"/>
              <w:right w:val="single" w:sz="1" w:space="0" w:color="BFBFBF"/>
            </w:tcBorders>
            <w:shd w:val="clear" w:color="auto" w:fill="FFFFFF"/>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28.309</w:t>
            </w:r>
          </w:p>
        </w:tc>
        <w:tc>
          <w:tcPr>
            <w:tcW w:w="1430" w:type="dxa"/>
            <w:tcBorders>
              <w:top w:val="single" w:sz="1" w:space="0" w:color="BFBFBF"/>
              <w:left w:val="single" w:sz="1" w:space="0" w:color="BFBFBF"/>
              <w:bottom w:val="single" w:sz="1" w:space="0" w:color="BFBFBF"/>
              <w:right w:val="single" w:sz="1" w:space="0" w:color="BFBFBF"/>
            </w:tcBorders>
            <w:shd w:val="clear" w:color="auto" w:fill="FFFFFF"/>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113.134</w:t>
            </w:r>
          </w:p>
        </w:tc>
        <w:tc>
          <w:tcPr>
            <w:tcW w:w="630" w:type="dxa"/>
            <w:tcBorders>
              <w:top w:val="single" w:sz="1" w:space="0" w:color="BFBFBF"/>
              <w:left w:val="single" w:sz="1" w:space="0" w:color="BFBFBF"/>
              <w:bottom w:val="single" w:sz="1" w:space="0" w:color="BFBFBF"/>
              <w:right w:val="single" w:sz="1" w:space="0" w:color="BFBFBF"/>
            </w:tcBorders>
            <w:shd w:val="clear" w:color="auto" w:fill="FFFFFF"/>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10,60%</w:t>
            </w:r>
          </w:p>
        </w:tc>
      </w:tr>
      <w:tr w:rsidR="00CC24B5" w:rsidRPr="00CC24B5" w:rsidTr="00CC24B5">
        <w:tc>
          <w:tcPr>
            <w:tcW w:w="1800" w:type="dxa"/>
            <w:tcBorders>
              <w:top w:val="single" w:sz="1" w:space="0" w:color="BFBFBF"/>
              <w:left w:val="single" w:sz="1" w:space="0" w:color="BFBFBF"/>
              <w:bottom w:val="single" w:sz="1" w:space="0" w:color="BFBFBF"/>
              <w:right w:val="single" w:sz="1" w:space="0" w:color="BFBFBF"/>
            </w:tcBorders>
            <w:shd w:val="clear" w:color="auto" w:fill="DEEBF7"/>
            <w:tcMar>
              <w:top w:w="60" w:type="dxa"/>
              <w:left w:w="120" w:type="dxa"/>
              <w:bottom w:w="60" w:type="dxa"/>
              <w:right w:w="120" w:type="dxa"/>
            </w:tcMar>
          </w:tcPr>
          <w:p w:rsidR="00CC24B5" w:rsidRPr="00CC24B5" w:rsidRDefault="00CC24B5" w:rsidP="00CC24B5">
            <w:pPr>
              <w:spacing w:before="40" w:after="40" w:line="240" w:lineRule="auto"/>
              <w:rPr>
                <w:rFonts w:ascii="Arial" w:eastAsia="Arial" w:hAnsi="Arial" w:cs="Arial"/>
              </w:rPr>
            </w:pPr>
            <w:r w:rsidRPr="00CC24B5">
              <w:rPr>
                <w:rFonts w:ascii="Calibri" w:eastAsia="Calibri" w:hAnsi="Calibri" w:cs="Calibri"/>
                <w:b/>
                <w:bCs/>
                <w:sz w:val="20"/>
                <w:szCs w:val="20"/>
              </w:rPr>
              <w:t>TOTAL</w:t>
            </w:r>
          </w:p>
        </w:tc>
        <w:tc>
          <w:tcPr>
            <w:tcW w:w="1300" w:type="dxa"/>
            <w:tcBorders>
              <w:top w:val="single" w:sz="1" w:space="0" w:color="BFBFBF"/>
              <w:left w:val="single" w:sz="1" w:space="0" w:color="BFBFBF"/>
              <w:bottom w:val="single" w:sz="1" w:space="0" w:color="BFBFBF"/>
              <w:right w:val="single" w:sz="1" w:space="0" w:color="BFBFBF"/>
            </w:tcBorders>
            <w:shd w:val="clear" w:color="auto" w:fill="DEEBF7"/>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b/>
                <w:bCs/>
                <w:sz w:val="20"/>
                <w:szCs w:val="20"/>
              </w:rPr>
              <w:t>793.134</w:t>
            </w:r>
          </w:p>
        </w:tc>
        <w:tc>
          <w:tcPr>
            <w:tcW w:w="1300" w:type="dxa"/>
            <w:tcBorders>
              <w:top w:val="single" w:sz="1" w:space="0" w:color="BFBFBF"/>
              <w:left w:val="single" w:sz="1" w:space="0" w:color="BFBFBF"/>
              <w:bottom w:val="single" w:sz="1" w:space="0" w:color="BFBFBF"/>
              <w:right w:val="single" w:sz="1" w:space="0" w:color="BFBFBF"/>
            </w:tcBorders>
            <w:shd w:val="clear" w:color="auto" w:fill="DEEBF7"/>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b/>
                <w:bCs/>
                <w:sz w:val="20"/>
                <w:szCs w:val="20"/>
              </w:rPr>
              <w:t>106.534</w:t>
            </w:r>
          </w:p>
        </w:tc>
        <w:tc>
          <w:tcPr>
            <w:tcW w:w="1300" w:type="dxa"/>
            <w:tcBorders>
              <w:top w:val="single" w:sz="1" w:space="0" w:color="BFBFBF"/>
              <w:left w:val="single" w:sz="1" w:space="0" w:color="BFBFBF"/>
              <w:bottom w:val="single" w:sz="1" w:space="0" w:color="BFBFBF"/>
              <w:right w:val="single" w:sz="1" w:space="0" w:color="BFBFBF"/>
            </w:tcBorders>
            <w:shd w:val="clear" w:color="auto" w:fill="DEEBF7"/>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b/>
                <w:bCs/>
                <w:sz w:val="20"/>
                <w:szCs w:val="20"/>
              </w:rPr>
              <w:t>35.811</w:t>
            </w:r>
          </w:p>
        </w:tc>
        <w:tc>
          <w:tcPr>
            <w:tcW w:w="1300" w:type="dxa"/>
            <w:tcBorders>
              <w:top w:val="single" w:sz="1" w:space="0" w:color="BFBFBF"/>
              <w:left w:val="single" w:sz="1" w:space="0" w:color="BFBFBF"/>
              <w:bottom w:val="single" w:sz="1" w:space="0" w:color="BFBFBF"/>
              <w:right w:val="single" w:sz="1" w:space="0" w:color="BFBFBF"/>
            </w:tcBorders>
            <w:shd w:val="clear" w:color="auto" w:fill="DEEBF7"/>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b/>
                <w:bCs/>
                <w:sz w:val="20"/>
                <w:szCs w:val="20"/>
              </w:rPr>
              <w:t>86.839</w:t>
            </w:r>
          </w:p>
        </w:tc>
        <w:tc>
          <w:tcPr>
            <w:tcW w:w="1300" w:type="dxa"/>
            <w:tcBorders>
              <w:top w:val="single" w:sz="1" w:space="0" w:color="BFBFBF"/>
              <w:left w:val="single" w:sz="1" w:space="0" w:color="BFBFBF"/>
              <w:bottom w:val="single" w:sz="1" w:space="0" w:color="BFBFBF"/>
              <w:right w:val="single" w:sz="1" w:space="0" w:color="BFBFBF"/>
            </w:tcBorders>
            <w:shd w:val="clear" w:color="auto" w:fill="DEEBF7"/>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b/>
                <w:bCs/>
                <w:sz w:val="20"/>
                <w:szCs w:val="20"/>
              </w:rPr>
              <w:t>38.561</w:t>
            </w:r>
          </w:p>
        </w:tc>
        <w:tc>
          <w:tcPr>
            <w:tcW w:w="1430" w:type="dxa"/>
            <w:tcBorders>
              <w:top w:val="single" w:sz="1" w:space="0" w:color="BFBFBF"/>
              <w:left w:val="single" w:sz="1" w:space="0" w:color="BFBFBF"/>
              <w:bottom w:val="single" w:sz="1" w:space="0" w:color="BFBFBF"/>
              <w:right w:val="single" w:sz="1" w:space="0" w:color="BFBFBF"/>
            </w:tcBorders>
            <w:shd w:val="clear" w:color="auto" w:fill="DEEBF7"/>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b/>
                <w:bCs/>
                <w:sz w:val="20"/>
                <w:szCs w:val="20"/>
              </w:rPr>
              <w:t>1.067.879</w:t>
            </w:r>
          </w:p>
        </w:tc>
        <w:tc>
          <w:tcPr>
            <w:tcW w:w="630" w:type="dxa"/>
            <w:tcBorders>
              <w:top w:val="single" w:sz="1" w:space="0" w:color="BFBFBF"/>
              <w:left w:val="single" w:sz="1" w:space="0" w:color="BFBFBF"/>
              <w:bottom w:val="single" w:sz="1" w:space="0" w:color="BFBFBF"/>
              <w:right w:val="single" w:sz="1" w:space="0" w:color="BFBFBF"/>
            </w:tcBorders>
            <w:shd w:val="clear" w:color="auto" w:fill="DEEBF7"/>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b/>
                <w:bCs/>
                <w:sz w:val="20"/>
                <w:szCs w:val="20"/>
              </w:rPr>
              <w:t>100%</w:t>
            </w:r>
          </w:p>
        </w:tc>
      </w:tr>
    </w:tbl>
    <w:p w:rsidR="00CC24B5" w:rsidRPr="00CC24B5" w:rsidRDefault="00CC24B5" w:rsidP="00CC24B5">
      <w:pPr>
        <w:spacing w:after="120" w:line="240" w:lineRule="auto"/>
        <w:jc w:val="both"/>
        <w:rPr>
          <w:rFonts w:ascii="Arial" w:eastAsia="Arial" w:hAnsi="Arial" w:cs="Arial"/>
        </w:rPr>
      </w:pPr>
      <w:r w:rsidRPr="00CC24B5">
        <w:rPr>
          <w:rFonts w:ascii="Calibri" w:eastAsia="Calibri" w:hAnsi="Calibri" w:cs="Calibri"/>
        </w:rPr>
        <w:t>Din totalul de 1.067.879 evenimente de cadere de tensiune inregistrate pe parcursul anului 2025 la cele 4.320 posturi de transformare monitorizate, 4.055 posturi (93,9%) au inregistrat cel putin un eveniment, iar 265 posturi (6,1%) nu au consemnat niciun eveniment.</w:t>
      </w:r>
    </w:p>
    <w:p w:rsidR="00CC24B5" w:rsidRPr="00CC24B5" w:rsidRDefault="00CC24B5" w:rsidP="00CC24B5">
      <w:pPr>
        <w:spacing w:after="120" w:line="240" w:lineRule="auto"/>
        <w:jc w:val="both"/>
        <w:rPr>
          <w:rFonts w:ascii="Arial" w:eastAsia="Arial" w:hAnsi="Arial" w:cs="Arial"/>
        </w:rPr>
      </w:pPr>
      <w:r w:rsidRPr="00CC24B5">
        <w:rPr>
          <w:rFonts w:ascii="Calibri" w:eastAsia="Calibri" w:hAnsi="Calibri" w:cs="Calibri"/>
        </w:rPr>
        <w:t xml:space="preserve"> Cel mai frecvent tip de cadere de tensiune este cel din clasa 90–80% (tensiune reziduala), care concentreaza 628.614 evenimente (58,87% din total), cu durata preponderenta de 10–200 ms, ceea ce indica perturbari scurte, tipice comutatiilor din retea sau pornirii motoarelor de mare putere.</w:t>
      </w:r>
    </w:p>
    <w:p w:rsidR="00CC24B5" w:rsidRPr="00CC24B5" w:rsidRDefault="00CC24B5" w:rsidP="00CC24B5">
      <w:pPr>
        <w:spacing w:after="120" w:line="240" w:lineRule="auto"/>
        <w:jc w:val="both"/>
        <w:rPr>
          <w:rFonts w:ascii="Arial" w:eastAsia="Arial" w:hAnsi="Arial" w:cs="Arial"/>
        </w:rPr>
      </w:pPr>
      <w:r w:rsidRPr="00CC24B5">
        <w:rPr>
          <w:rFonts w:ascii="Calibri" w:eastAsia="Calibri" w:hAnsi="Calibri" w:cs="Calibri"/>
        </w:rPr>
        <w:t>Aspectul cel mai ingrijorator il reprezinta categoria 5 &gt; u (caderi profunde, echivalente practic cu intreruperi), cu 113.134 evenimente (10,60% din total), dintre care 95.369 (84,3%) au durate lungi, de peste 1.000 ms – indicand scurtcircuite sau deconectari protectii nerestaurate rapid. Aceasta categorie afecteaza 3.616 posturi si necesita investigatii prioritare.</w:t>
      </w:r>
    </w:p>
    <w:p w:rsidR="00CC24B5" w:rsidRPr="00CC24B5" w:rsidRDefault="00CC24B5" w:rsidP="00CC24B5">
      <w:pPr>
        <w:spacing w:after="0" w:line="240" w:lineRule="auto"/>
        <w:rPr>
          <w:rFonts w:ascii="Arial" w:eastAsia="Arial" w:hAnsi="Arial" w:cs="Arial"/>
        </w:rPr>
      </w:pPr>
    </w:p>
    <w:p w:rsidR="00CC24B5" w:rsidRPr="00CC24B5" w:rsidRDefault="00CC24B5" w:rsidP="00CC24B5">
      <w:pPr>
        <w:spacing w:after="120" w:line="240" w:lineRule="auto"/>
        <w:jc w:val="both"/>
        <w:rPr>
          <w:rFonts w:ascii="Arial" w:eastAsia="Arial" w:hAnsi="Arial" w:cs="Arial"/>
        </w:rPr>
      </w:pPr>
      <w:r w:rsidRPr="00CC24B5">
        <w:rPr>
          <w:rFonts w:ascii="Calibri" w:eastAsia="Calibri" w:hAnsi="Calibri" w:cs="Calibri"/>
          <w:b/>
          <w:bCs/>
        </w:rPr>
        <w:t xml:space="preserve">Concluzie: </w:t>
      </w:r>
      <w:r w:rsidRPr="00CC24B5">
        <w:rPr>
          <w:rFonts w:ascii="Calibri" w:eastAsia="Calibri" w:hAnsi="Calibri" w:cs="Calibri"/>
        </w:rPr>
        <w:t>Situatia caderi de tensiune la nivelul retelei 0,4 kV DEO este dominata de caderi superficiale si de scurta durata (clasa 90–80%, sub 200 ms), caracteristice functionarii normale a retelei de distributie. Categoria cu risc major o reprezinta caderi profunde (5 &gt; u) cu durata lunga (&gt;1.000 ms), prezente la 3.616 posturi, pentru care se recomanda investigarea cauzelor (scurtcircuite, protectii lente, scheme de automatizare) si implementarea de masuri prioritare de remediere.</w:t>
      </w:r>
    </w:p>
    <w:p w:rsidR="00CC24B5" w:rsidRPr="00CC24B5" w:rsidRDefault="00CC24B5" w:rsidP="00CC24B5">
      <w:pPr>
        <w:keepNext/>
        <w:spacing w:before="280" w:after="120" w:line="240" w:lineRule="auto"/>
        <w:outlineLvl w:val="1"/>
        <w:rPr>
          <w:rFonts w:ascii="Arial" w:eastAsia="Arial" w:hAnsi="Arial" w:cs="Arial"/>
          <w:b/>
          <w:bCs/>
          <w:color w:val="2E75B6"/>
          <w:sz w:val="28"/>
          <w:szCs w:val="28"/>
        </w:rPr>
      </w:pPr>
      <w:bookmarkStart w:id="12" w:name="_Toc232168948"/>
      <w:r w:rsidRPr="00CC24B5">
        <w:rPr>
          <w:rFonts w:ascii="Calibri" w:eastAsia="Calibri" w:hAnsi="Calibri" w:cs="Calibri"/>
          <w:b/>
          <w:bCs/>
          <w:color w:val="2E75B6"/>
          <w:sz w:val="28"/>
          <w:szCs w:val="28"/>
        </w:rPr>
        <w:t>3.1.13 Analiza supratensiunilor – Tabel 6 ANRE</w:t>
      </w:r>
      <w:bookmarkEnd w:id="12"/>
    </w:p>
    <w:p w:rsidR="00CC24B5" w:rsidRPr="00CC24B5" w:rsidRDefault="00CC24B5" w:rsidP="00CC24B5">
      <w:pPr>
        <w:spacing w:after="120" w:line="240" w:lineRule="auto"/>
        <w:jc w:val="both"/>
        <w:rPr>
          <w:rFonts w:ascii="Arial" w:eastAsia="Arial" w:hAnsi="Arial" w:cs="Arial"/>
        </w:rPr>
      </w:pPr>
      <w:r w:rsidRPr="00CC24B5">
        <w:rPr>
          <w:rFonts w:ascii="Calibri" w:eastAsia="Calibri" w:hAnsi="Calibri" w:cs="Calibri"/>
        </w:rPr>
        <w:t>Supratensiunile (voltage swells) reprezinta cresteri ale tensiunii eficace peste 110% din tensiunea nominala, pe durate cuprinse intre 10 ms si 60.000 ms. Sunt clasificate in doua categorii de amplitudine: moderata (110–120% Un) si severa (≥ 120% Un).</w:t>
      </w:r>
    </w:p>
    <w:p w:rsidR="00CC24B5" w:rsidRPr="00CC24B5" w:rsidRDefault="00CC24B5" w:rsidP="00CC24B5">
      <w:pPr>
        <w:spacing w:before="40" w:after="240" w:line="240" w:lineRule="auto"/>
        <w:jc w:val="center"/>
        <w:rPr>
          <w:rFonts w:ascii="Arial" w:eastAsia="Arial" w:hAnsi="Arial" w:cs="Arial"/>
        </w:rPr>
      </w:pPr>
      <w:r w:rsidRPr="00CC24B5">
        <w:rPr>
          <w:rFonts w:ascii="Calibri" w:eastAsia="Calibri" w:hAnsi="Calibri" w:cs="Calibri"/>
          <w:i/>
          <w:iCs/>
          <w:color w:val="595959"/>
          <w:sz w:val="20"/>
        </w:rPr>
        <w:t>Figura 3.3 – Distributia evenimentelor de supratensiune pe clase de amplitudine si durate</w:t>
      </w:r>
    </w:p>
    <w:tbl>
      <w:tblPr>
        <w:tblW w:w="95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2305"/>
        <w:gridCol w:w="1638"/>
        <w:gridCol w:w="1630"/>
        <w:gridCol w:w="1630"/>
        <w:gridCol w:w="1415"/>
        <w:gridCol w:w="942"/>
      </w:tblGrid>
      <w:tr w:rsidR="00CC24B5" w:rsidRPr="00CC24B5" w:rsidTr="00CC24B5">
        <w:trPr>
          <w:tblHeader/>
        </w:trPr>
        <w:tc>
          <w:tcPr>
            <w:tcW w:w="2400" w:type="dxa"/>
            <w:tcBorders>
              <w:top w:val="single" w:sz="1" w:space="0" w:color="BFBFBF"/>
              <w:left w:val="single" w:sz="1" w:space="0" w:color="BFBFBF"/>
              <w:bottom w:val="single" w:sz="1" w:space="0" w:color="BFBFBF"/>
              <w:right w:val="single" w:sz="1" w:space="0" w:color="BFBFBF"/>
            </w:tcBorders>
            <w:shd w:val="clear" w:color="auto" w:fill="2E75B6"/>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b/>
                <w:bCs/>
                <w:color w:val="FFFFFF"/>
                <w:sz w:val="20"/>
                <w:szCs w:val="20"/>
              </w:rPr>
              <w:lastRenderedPageBreak/>
              <w:t>Tensiune maxima (% Un)</w:t>
            </w:r>
          </w:p>
        </w:tc>
        <w:tc>
          <w:tcPr>
            <w:tcW w:w="1700" w:type="dxa"/>
            <w:tcBorders>
              <w:top w:val="single" w:sz="1" w:space="0" w:color="BFBFBF"/>
              <w:left w:val="single" w:sz="1" w:space="0" w:color="BFBFBF"/>
              <w:bottom w:val="single" w:sz="1" w:space="0" w:color="BFBFBF"/>
              <w:right w:val="single" w:sz="1" w:space="0" w:color="BFBFBF"/>
            </w:tcBorders>
            <w:shd w:val="clear" w:color="auto" w:fill="2E75B6"/>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b/>
                <w:bCs/>
                <w:color w:val="FFFFFF"/>
                <w:sz w:val="20"/>
                <w:szCs w:val="20"/>
              </w:rPr>
              <w:t>10–500 ms</w:t>
            </w:r>
          </w:p>
        </w:tc>
        <w:tc>
          <w:tcPr>
            <w:tcW w:w="1700" w:type="dxa"/>
            <w:tcBorders>
              <w:top w:val="single" w:sz="1" w:space="0" w:color="BFBFBF"/>
              <w:left w:val="single" w:sz="1" w:space="0" w:color="BFBFBF"/>
              <w:bottom w:val="single" w:sz="1" w:space="0" w:color="BFBFBF"/>
              <w:right w:val="single" w:sz="1" w:space="0" w:color="BFBFBF"/>
            </w:tcBorders>
            <w:shd w:val="clear" w:color="auto" w:fill="2E75B6"/>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b/>
                <w:bCs/>
                <w:color w:val="FFFFFF"/>
                <w:sz w:val="20"/>
                <w:szCs w:val="20"/>
              </w:rPr>
              <w:t>500–5000 ms</w:t>
            </w:r>
          </w:p>
        </w:tc>
        <w:tc>
          <w:tcPr>
            <w:tcW w:w="1700" w:type="dxa"/>
            <w:tcBorders>
              <w:top w:val="single" w:sz="1" w:space="0" w:color="BFBFBF"/>
              <w:left w:val="single" w:sz="1" w:space="0" w:color="BFBFBF"/>
              <w:bottom w:val="single" w:sz="1" w:space="0" w:color="BFBFBF"/>
              <w:right w:val="single" w:sz="1" w:space="0" w:color="BFBFBF"/>
            </w:tcBorders>
            <w:shd w:val="clear" w:color="auto" w:fill="2E75B6"/>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b/>
                <w:bCs/>
                <w:color w:val="FFFFFF"/>
                <w:sz w:val="20"/>
                <w:szCs w:val="20"/>
              </w:rPr>
              <w:t>5000–60000 ms</w:t>
            </w:r>
          </w:p>
        </w:tc>
        <w:tc>
          <w:tcPr>
            <w:tcW w:w="1430" w:type="dxa"/>
            <w:tcBorders>
              <w:top w:val="single" w:sz="1" w:space="0" w:color="BFBFBF"/>
              <w:left w:val="single" w:sz="1" w:space="0" w:color="BFBFBF"/>
              <w:bottom w:val="single" w:sz="1" w:space="0" w:color="BFBFBF"/>
              <w:right w:val="single" w:sz="1" w:space="0" w:color="BFBFBF"/>
            </w:tcBorders>
            <w:shd w:val="clear" w:color="auto" w:fill="2E75B6"/>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b/>
                <w:bCs/>
                <w:color w:val="FFFFFF"/>
                <w:sz w:val="20"/>
                <w:szCs w:val="20"/>
              </w:rPr>
              <w:t>Total evenimente</w:t>
            </w:r>
          </w:p>
        </w:tc>
        <w:tc>
          <w:tcPr>
            <w:tcW w:w="630" w:type="dxa"/>
            <w:tcBorders>
              <w:top w:val="single" w:sz="1" w:space="0" w:color="BFBFBF"/>
              <w:left w:val="single" w:sz="1" w:space="0" w:color="BFBFBF"/>
              <w:bottom w:val="single" w:sz="1" w:space="0" w:color="BFBFBF"/>
              <w:right w:val="single" w:sz="1" w:space="0" w:color="BFBFBF"/>
            </w:tcBorders>
            <w:shd w:val="clear" w:color="auto" w:fill="2E75B6"/>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b/>
                <w:bCs/>
                <w:color w:val="FFFFFF"/>
                <w:sz w:val="20"/>
                <w:szCs w:val="20"/>
              </w:rPr>
              <w:t>Pondere</w:t>
            </w:r>
          </w:p>
        </w:tc>
      </w:tr>
      <w:tr w:rsidR="00CC24B5" w:rsidRPr="00CC24B5" w:rsidTr="00CC24B5">
        <w:tc>
          <w:tcPr>
            <w:tcW w:w="2400" w:type="dxa"/>
            <w:tcBorders>
              <w:top w:val="single" w:sz="1" w:space="0" w:color="BFBFBF"/>
              <w:left w:val="single" w:sz="1" w:space="0" w:color="BFBFBF"/>
              <w:bottom w:val="single" w:sz="1" w:space="0" w:color="BFBFBF"/>
              <w:right w:val="single" w:sz="1" w:space="0" w:color="BFBFBF"/>
            </w:tcBorders>
            <w:shd w:val="clear" w:color="auto" w:fill="FFFFFF"/>
            <w:tcMar>
              <w:top w:w="60" w:type="dxa"/>
              <w:left w:w="120" w:type="dxa"/>
              <w:bottom w:w="60" w:type="dxa"/>
              <w:right w:w="120" w:type="dxa"/>
            </w:tcMar>
          </w:tcPr>
          <w:p w:rsidR="00CC24B5" w:rsidRPr="00CC24B5" w:rsidRDefault="00CC24B5" w:rsidP="00CC24B5">
            <w:pPr>
              <w:spacing w:before="40" w:after="40" w:line="240" w:lineRule="auto"/>
              <w:rPr>
                <w:rFonts w:ascii="Arial" w:eastAsia="Arial" w:hAnsi="Arial" w:cs="Arial"/>
              </w:rPr>
            </w:pPr>
            <w:r w:rsidRPr="00CC24B5">
              <w:rPr>
                <w:rFonts w:ascii="Calibri" w:eastAsia="Calibri" w:hAnsi="Calibri" w:cs="Calibri"/>
                <w:sz w:val="20"/>
                <w:szCs w:val="20"/>
              </w:rPr>
              <w:t>120 &gt; u &gt; 110% (moderata)</w:t>
            </w:r>
          </w:p>
        </w:tc>
        <w:tc>
          <w:tcPr>
            <w:tcW w:w="1700" w:type="dxa"/>
            <w:tcBorders>
              <w:top w:val="single" w:sz="1" w:space="0" w:color="BFBFBF"/>
              <w:left w:val="single" w:sz="1" w:space="0" w:color="BFBFBF"/>
              <w:bottom w:val="single" w:sz="1" w:space="0" w:color="BFBFBF"/>
              <w:right w:val="single" w:sz="1" w:space="0" w:color="BFBFBF"/>
            </w:tcBorders>
            <w:shd w:val="clear" w:color="auto" w:fill="FFFFFF"/>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258.545</w:t>
            </w:r>
          </w:p>
        </w:tc>
        <w:tc>
          <w:tcPr>
            <w:tcW w:w="1700" w:type="dxa"/>
            <w:tcBorders>
              <w:top w:val="single" w:sz="1" w:space="0" w:color="BFBFBF"/>
              <w:left w:val="single" w:sz="1" w:space="0" w:color="BFBFBF"/>
              <w:bottom w:val="single" w:sz="1" w:space="0" w:color="BFBFBF"/>
              <w:right w:val="single" w:sz="1" w:space="0" w:color="BFBFBF"/>
            </w:tcBorders>
            <w:shd w:val="clear" w:color="auto" w:fill="FFFFFF"/>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44.823</w:t>
            </w:r>
          </w:p>
        </w:tc>
        <w:tc>
          <w:tcPr>
            <w:tcW w:w="1700" w:type="dxa"/>
            <w:tcBorders>
              <w:top w:val="single" w:sz="1" w:space="0" w:color="BFBFBF"/>
              <w:left w:val="single" w:sz="1" w:space="0" w:color="BFBFBF"/>
              <w:bottom w:val="single" w:sz="1" w:space="0" w:color="BFBFBF"/>
              <w:right w:val="single" w:sz="1" w:space="0" w:color="BFBFBF"/>
            </w:tcBorders>
            <w:shd w:val="clear" w:color="auto" w:fill="FFFFFF"/>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38.430</w:t>
            </w:r>
          </w:p>
        </w:tc>
        <w:tc>
          <w:tcPr>
            <w:tcW w:w="1430" w:type="dxa"/>
            <w:tcBorders>
              <w:top w:val="single" w:sz="1" w:space="0" w:color="BFBFBF"/>
              <w:left w:val="single" w:sz="1" w:space="0" w:color="BFBFBF"/>
              <w:bottom w:val="single" w:sz="1" w:space="0" w:color="BFBFBF"/>
              <w:right w:val="single" w:sz="1" w:space="0" w:color="BFBFBF"/>
            </w:tcBorders>
            <w:shd w:val="clear" w:color="auto" w:fill="FFFFFF"/>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341.798</w:t>
            </w:r>
          </w:p>
        </w:tc>
        <w:tc>
          <w:tcPr>
            <w:tcW w:w="630" w:type="dxa"/>
            <w:tcBorders>
              <w:top w:val="single" w:sz="1" w:space="0" w:color="BFBFBF"/>
              <w:left w:val="single" w:sz="1" w:space="0" w:color="BFBFBF"/>
              <w:bottom w:val="single" w:sz="1" w:space="0" w:color="BFBFBF"/>
              <w:right w:val="single" w:sz="1" w:space="0" w:color="BFBFBF"/>
            </w:tcBorders>
            <w:shd w:val="clear" w:color="auto" w:fill="FFFFFF"/>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91,0%</w:t>
            </w:r>
          </w:p>
        </w:tc>
      </w:tr>
      <w:tr w:rsidR="00CC24B5" w:rsidRPr="00CC24B5" w:rsidTr="00CC24B5">
        <w:tc>
          <w:tcPr>
            <w:tcW w:w="2400" w:type="dxa"/>
            <w:tcBorders>
              <w:top w:val="single" w:sz="1" w:space="0" w:color="BFBFBF"/>
              <w:left w:val="single" w:sz="1" w:space="0" w:color="BFBFBF"/>
              <w:bottom w:val="single" w:sz="1" w:space="0" w:color="BFBFBF"/>
              <w:right w:val="single" w:sz="1" w:space="0" w:color="BFBFBF"/>
            </w:tcBorders>
            <w:shd w:val="clear" w:color="auto" w:fill="F2F2F2"/>
            <w:tcMar>
              <w:top w:w="60" w:type="dxa"/>
              <w:left w:w="120" w:type="dxa"/>
              <w:bottom w:w="60" w:type="dxa"/>
              <w:right w:w="120" w:type="dxa"/>
            </w:tcMar>
          </w:tcPr>
          <w:p w:rsidR="00CC24B5" w:rsidRPr="00CC24B5" w:rsidRDefault="00CC24B5" w:rsidP="00CC24B5">
            <w:pPr>
              <w:spacing w:before="40" w:after="40" w:line="240" w:lineRule="auto"/>
              <w:rPr>
                <w:rFonts w:ascii="Arial" w:eastAsia="Arial" w:hAnsi="Arial" w:cs="Arial"/>
              </w:rPr>
            </w:pPr>
            <w:r w:rsidRPr="00CC24B5">
              <w:rPr>
                <w:rFonts w:ascii="Calibri" w:eastAsia="Calibri" w:hAnsi="Calibri" w:cs="Calibri"/>
                <w:sz w:val="20"/>
                <w:szCs w:val="20"/>
              </w:rPr>
              <w:t>u ≥ 120% (severa)</w:t>
            </w:r>
          </w:p>
        </w:tc>
        <w:tc>
          <w:tcPr>
            <w:tcW w:w="1700" w:type="dxa"/>
            <w:tcBorders>
              <w:top w:val="single" w:sz="1" w:space="0" w:color="BFBFBF"/>
              <w:left w:val="single" w:sz="1" w:space="0" w:color="BFBFBF"/>
              <w:bottom w:val="single" w:sz="1" w:space="0" w:color="BFBFBF"/>
              <w:right w:val="single" w:sz="1" w:space="0" w:color="BFBFBF"/>
            </w:tcBorders>
            <w:shd w:val="clear" w:color="auto" w:fill="F2F2F2"/>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6.352</w:t>
            </w:r>
          </w:p>
        </w:tc>
        <w:tc>
          <w:tcPr>
            <w:tcW w:w="1700" w:type="dxa"/>
            <w:tcBorders>
              <w:top w:val="single" w:sz="1" w:space="0" w:color="BFBFBF"/>
              <w:left w:val="single" w:sz="1" w:space="0" w:color="BFBFBF"/>
              <w:bottom w:val="single" w:sz="1" w:space="0" w:color="BFBFBF"/>
              <w:right w:val="single" w:sz="1" w:space="0" w:color="BFBFBF"/>
            </w:tcBorders>
            <w:shd w:val="clear" w:color="auto" w:fill="F2F2F2"/>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18.506</w:t>
            </w:r>
          </w:p>
        </w:tc>
        <w:tc>
          <w:tcPr>
            <w:tcW w:w="1700" w:type="dxa"/>
            <w:tcBorders>
              <w:top w:val="single" w:sz="1" w:space="0" w:color="BFBFBF"/>
              <w:left w:val="single" w:sz="1" w:space="0" w:color="BFBFBF"/>
              <w:bottom w:val="single" w:sz="1" w:space="0" w:color="BFBFBF"/>
              <w:right w:val="single" w:sz="1" w:space="0" w:color="BFBFBF"/>
            </w:tcBorders>
            <w:shd w:val="clear" w:color="auto" w:fill="F2F2F2"/>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8.945</w:t>
            </w:r>
          </w:p>
        </w:tc>
        <w:tc>
          <w:tcPr>
            <w:tcW w:w="1430" w:type="dxa"/>
            <w:tcBorders>
              <w:top w:val="single" w:sz="1" w:space="0" w:color="BFBFBF"/>
              <w:left w:val="single" w:sz="1" w:space="0" w:color="BFBFBF"/>
              <w:bottom w:val="single" w:sz="1" w:space="0" w:color="BFBFBF"/>
              <w:right w:val="single" w:sz="1" w:space="0" w:color="BFBFBF"/>
            </w:tcBorders>
            <w:shd w:val="clear" w:color="auto" w:fill="F2F2F2"/>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33.803</w:t>
            </w:r>
          </w:p>
        </w:tc>
        <w:tc>
          <w:tcPr>
            <w:tcW w:w="630" w:type="dxa"/>
            <w:tcBorders>
              <w:top w:val="single" w:sz="1" w:space="0" w:color="BFBFBF"/>
              <w:left w:val="single" w:sz="1" w:space="0" w:color="BFBFBF"/>
              <w:bottom w:val="single" w:sz="1" w:space="0" w:color="BFBFBF"/>
              <w:right w:val="single" w:sz="1" w:space="0" w:color="BFBFBF"/>
            </w:tcBorders>
            <w:shd w:val="clear" w:color="auto" w:fill="F2F2F2"/>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 xml:space="preserve">9,0% </w:t>
            </w:r>
          </w:p>
        </w:tc>
      </w:tr>
      <w:tr w:rsidR="00CC24B5" w:rsidRPr="00CC24B5" w:rsidTr="00CC24B5">
        <w:tc>
          <w:tcPr>
            <w:tcW w:w="2400" w:type="dxa"/>
            <w:tcBorders>
              <w:top w:val="single" w:sz="1" w:space="0" w:color="BFBFBF"/>
              <w:left w:val="single" w:sz="1" w:space="0" w:color="BFBFBF"/>
              <w:bottom w:val="single" w:sz="1" w:space="0" w:color="BFBFBF"/>
              <w:right w:val="single" w:sz="1" w:space="0" w:color="BFBFBF"/>
            </w:tcBorders>
            <w:shd w:val="clear" w:color="auto" w:fill="DEEBF7"/>
            <w:tcMar>
              <w:top w:w="60" w:type="dxa"/>
              <w:left w:w="120" w:type="dxa"/>
              <w:bottom w:w="60" w:type="dxa"/>
              <w:right w:w="120" w:type="dxa"/>
            </w:tcMar>
          </w:tcPr>
          <w:p w:rsidR="00CC24B5" w:rsidRPr="00CC24B5" w:rsidRDefault="00CC24B5" w:rsidP="00CC24B5">
            <w:pPr>
              <w:spacing w:before="40" w:after="40" w:line="240" w:lineRule="auto"/>
              <w:rPr>
                <w:rFonts w:ascii="Arial" w:eastAsia="Arial" w:hAnsi="Arial" w:cs="Arial"/>
              </w:rPr>
            </w:pPr>
            <w:r w:rsidRPr="00CC24B5">
              <w:rPr>
                <w:rFonts w:ascii="Calibri" w:eastAsia="Calibri" w:hAnsi="Calibri" w:cs="Calibri"/>
                <w:b/>
                <w:bCs/>
                <w:sz w:val="20"/>
                <w:szCs w:val="20"/>
              </w:rPr>
              <w:t>TOTAL</w:t>
            </w:r>
          </w:p>
        </w:tc>
        <w:tc>
          <w:tcPr>
            <w:tcW w:w="1700" w:type="dxa"/>
            <w:tcBorders>
              <w:top w:val="single" w:sz="1" w:space="0" w:color="BFBFBF"/>
              <w:left w:val="single" w:sz="1" w:space="0" w:color="BFBFBF"/>
              <w:bottom w:val="single" w:sz="1" w:space="0" w:color="BFBFBF"/>
              <w:right w:val="single" w:sz="1" w:space="0" w:color="BFBFBF"/>
            </w:tcBorders>
            <w:shd w:val="clear" w:color="auto" w:fill="DEEBF7"/>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b/>
                <w:bCs/>
                <w:sz w:val="20"/>
                <w:szCs w:val="20"/>
              </w:rPr>
              <w:t>264.897</w:t>
            </w:r>
          </w:p>
        </w:tc>
        <w:tc>
          <w:tcPr>
            <w:tcW w:w="1700" w:type="dxa"/>
            <w:tcBorders>
              <w:top w:val="single" w:sz="1" w:space="0" w:color="BFBFBF"/>
              <w:left w:val="single" w:sz="1" w:space="0" w:color="BFBFBF"/>
              <w:bottom w:val="single" w:sz="1" w:space="0" w:color="BFBFBF"/>
              <w:right w:val="single" w:sz="1" w:space="0" w:color="BFBFBF"/>
            </w:tcBorders>
            <w:shd w:val="clear" w:color="auto" w:fill="DEEBF7"/>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b/>
                <w:bCs/>
                <w:sz w:val="20"/>
                <w:szCs w:val="20"/>
              </w:rPr>
              <w:t>63.329</w:t>
            </w:r>
          </w:p>
        </w:tc>
        <w:tc>
          <w:tcPr>
            <w:tcW w:w="1700" w:type="dxa"/>
            <w:tcBorders>
              <w:top w:val="single" w:sz="1" w:space="0" w:color="BFBFBF"/>
              <w:left w:val="single" w:sz="1" w:space="0" w:color="BFBFBF"/>
              <w:bottom w:val="single" w:sz="1" w:space="0" w:color="BFBFBF"/>
              <w:right w:val="single" w:sz="1" w:space="0" w:color="BFBFBF"/>
            </w:tcBorders>
            <w:shd w:val="clear" w:color="auto" w:fill="DEEBF7"/>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b/>
                <w:bCs/>
                <w:sz w:val="20"/>
                <w:szCs w:val="20"/>
              </w:rPr>
              <w:t>47.375</w:t>
            </w:r>
          </w:p>
        </w:tc>
        <w:tc>
          <w:tcPr>
            <w:tcW w:w="1430" w:type="dxa"/>
            <w:tcBorders>
              <w:top w:val="single" w:sz="1" w:space="0" w:color="BFBFBF"/>
              <w:left w:val="single" w:sz="1" w:space="0" w:color="BFBFBF"/>
              <w:bottom w:val="single" w:sz="1" w:space="0" w:color="BFBFBF"/>
              <w:right w:val="single" w:sz="1" w:space="0" w:color="BFBFBF"/>
            </w:tcBorders>
            <w:shd w:val="clear" w:color="auto" w:fill="DEEBF7"/>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b/>
                <w:bCs/>
                <w:sz w:val="20"/>
                <w:szCs w:val="20"/>
              </w:rPr>
              <w:t>375.601</w:t>
            </w:r>
          </w:p>
        </w:tc>
        <w:tc>
          <w:tcPr>
            <w:tcW w:w="630" w:type="dxa"/>
            <w:tcBorders>
              <w:top w:val="single" w:sz="1" w:space="0" w:color="BFBFBF"/>
              <w:left w:val="single" w:sz="1" w:space="0" w:color="BFBFBF"/>
              <w:bottom w:val="single" w:sz="1" w:space="0" w:color="BFBFBF"/>
              <w:right w:val="single" w:sz="1" w:space="0" w:color="BFBFBF"/>
            </w:tcBorders>
            <w:shd w:val="clear" w:color="auto" w:fill="DEEBF7"/>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b/>
                <w:bCs/>
                <w:sz w:val="20"/>
                <w:szCs w:val="20"/>
              </w:rPr>
              <w:t>100%</w:t>
            </w:r>
          </w:p>
        </w:tc>
      </w:tr>
    </w:tbl>
    <w:p w:rsidR="00CC24B5" w:rsidRPr="00CC24B5" w:rsidRDefault="00CC24B5" w:rsidP="00CC24B5">
      <w:pPr>
        <w:spacing w:after="120" w:line="240" w:lineRule="auto"/>
        <w:jc w:val="both"/>
        <w:rPr>
          <w:rFonts w:ascii="Arial" w:eastAsia="Arial" w:hAnsi="Arial" w:cs="Arial"/>
        </w:rPr>
      </w:pPr>
      <w:r w:rsidRPr="00CC24B5">
        <w:rPr>
          <w:rFonts w:ascii="Calibri" w:eastAsia="Calibri" w:hAnsi="Calibri" w:cs="Calibri"/>
        </w:rPr>
        <w:t>Din totalul de 375.601 evenimente de supratensiune inregistrate, 2.960 posturi (68,5%) au consemnat cel putin un eveniment, iar 1.360 posturi (31,5%) nu au inregistrat supratensiuni. Categoria moderata (110–120% Un) domina cu 341.798 evenimente (91,0%), pe durate preponderent scurte (10–500 ms), specifice manevrelor de comutatie si variatiilor de sarcina.</w:t>
      </w:r>
    </w:p>
    <w:p w:rsidR="00CC24B5" w:rsidRPr="00CC24B5" w:rsidRDefault="00CC24B5" w:rsidP="00CC24B5">
      <w:pPr>
        <w:spacing w:after="120" w:line="240" w:lineRule="auto"/>
        <w:jc w:val="both"/>
        <w:rPr>
          <w:rFonts w:ascii="Arial" w:eastAsia="Arial" w:hAnsi="Arial" w:cs="Arial"/>
        </w:rPr>
      </w:pPr>
      <w:r w:rsidRPr="00CC24B5">
        <w:rPr>
          <w:rFonts w:ascii="Calibri" w:eastAsia="Calibri" w:hAnsi="Calibri" w:cs="Calibri"/>
        </w:rPr>
        <w:t>Supratensiunile severe (u ≥ 120% Un) reprezinta 33.803 evenimente (9,0% din total) si afecteaza 805 posturi. Prezenta evenimentelor de lunga durata in categoria severa (18.506 in intervalul 500–5.000 ms si 8.945 in intervalul 5.000–60.000 ms) ridica preocupari legate de functionarea echipamentelor consumatorilor si a protectiilor de supratensiune.</w:t>
      </w:r>
    </w:p>
    <w:p w:rsidR="00CC24B5" w:rsidRPr="00CC24B5" w:rsidRDefault="00CC24B5" w:rsidP="00CC24B5">
      <w:pPr>
        <w:spacing w:after="0" w:line="240" w:lineRule="auto"/>
        <w:rPr>
          <w:rFonts w:ascii="Arial" w:eastAsia="Arial" w:hAnsi="Arial" w:cs="Arial"/>
        </w:rPr>
      </w:pPr>
    </w:p>
    <w:p w:rsidR="00CC24B5" w:rsidRPr="00CC24B5" w:rsidRDefault="00CC24B5" w:rsidP="00CC24B5">
      <w:pPr>
        <w:spacing w:after="120" w:line="240" w:lineRule="auto"/>
        <w:jc w:val="both"/>
        <w:rPr>
          <w:rFonts w:ascii="Arial" w:eastAsia="Arial" w:hAnsi="Arial" w:cs="Arial"/>
        </w:rPr>
      </w:pPr>
      <w:r w:rsidRPr="00CC24B5">
        <w:rPr>
          <w:rFonts w:ascii="Calibri" w:eastAsia="Calibri" w:hAnsi="Calibri" w:cs="Calibri"/>
          <w:b/>
          <w:bCs/>
        </w:rPr>
        <w:t xml:space="preserve">Concluzie: </w:t>
      </w:r>
      <w:r w:rsidRPr="00CC24B5">
        <w:rPr>
          <w:rFonts w:ascii="Calibri" w:eastAsia="Calibri" w:hAnsi="Calibri" w:cs="Calibri"/>
        </w:rPr>
        <w:t>Situatia supratensiunilor este majoritar conforma, cu predominarea evenimentelor moderate si de scurta durata. Cele 805 posturi cu supratensiuni severe (≥ 120% Un) si in special cele cu evenimente de lunga durata (&gt; 500 ms) necesita verificarea reglajelor protectiilor de supratensiune, a compensatoarelor reactive si a calitatii conexiunilor la neutru.</w:t>
      </w:r>
    </w:p>
    <w:p w:rsidR="00CC24B5" w:rsidRPr="00CC24B5" w:rsidRDefault="00CC24B5" w:rsidP="00CC24B5">
      <w:pPr>
        <w:keepNext/>
        <w:spacing w:before="280" w:after="120" w:line="240" w:lineRule="auto"/>
        <w:outlineLvl w:val="1"/>
        <w:rPr>
          <w:rFonts w:ascii="Arial" w:eastAsia="Arial" w:hAnsi="Arial" w:cs="Arial"/>
          <w:b/>
          <w:bCs/>
          <w:color w:val="2E75B6"/>
          <w:sz w:val="28"/>
          <w:szCs w:val="28"/>
        </w:rPr>
      </w:pPr>
      <w:bookmarkStart w:id="13" w:name="_Toc232168949"/>
      <w:r w:rsidRPr="00CC24B5">
        <w:rPr>
          <w:rFonts w:ascii="Calibri" w:eastAsia="Calibri" w:hAnsi="Calibri" w:cs="Calibri"/>
          <w:b/>
          <w:bCs/>
          <w:color w:val="2E75B6"/>
          <w:sz w:val="28"/>
          <w:szCs w:val="28"/>
        </w:rPr>
        <w:t>3.2. Concentratoare date MT</w:t>
      </w:r>
      <w:bookmarkEnd w:id="13"/>
      <w:r w:rsidRPr="00CC24B5">
        <w:rPr>
          <w:rFonts w:ascii="Calibri" w:eastAsia="Calibri" w:hAnsi="Calibri" w:cs="Calibri"/>
          <w:b/>
          <w:bCs/>
          <w:color w:val="2E75B6"/>
          <w:sz w:val="28"/>
          <w:szCs w:val="28"/>
        </w:rPr>
        <w:t xml:space="preserve"> </w:t>
      </w:r>
    </w:p>
    <w:p w:rsidR="00CC24B5" w:rsidRPr="00CC24B5" w:rsidRDefault="00CC24B5" w:rsidP="00CC24B5">
      <w:pPr>
        <w:spacing w:after="0" w:line="240" w:lineRule="auto"/>
        <w:rPr>
          <w:rFonts w:ascii="Arial" w:eastAsia="Arial" w:hAnsi="Arial" w:cs="Arial"/>
        </w:rPr>
      </w:pPr>
    </w:p>
    <w:p w:rsidR="00CC24B5" w:rsidRPr="00CC24B5" w:rsidRDefault="00CC24B5" w:rsidP="00CC24B5">
      <w:pPr>
        <w:keepNext/>
        <w:spacing w:before="280" w:after="120" w:line="240" w:lineRule="auto"/>
        <w:outlineLvl w:val="1"/>
        <w:rPr>
          <w:rFonts w:ascii="Arial" w:eastAsia="Arial" w:hAnsi="Arial" w:cs="Arial"/>
          <w:b/>
          <w:bCs/>
          <w:color w:val="2E75B6"/>
          <w:sz w:val="28"/>
          <w:szCs w:val="28"/>
        </w:rPr>
      </w:pPr>
      <w:bookmarkStart w:id="14" w:name="_Toc232168950"/>
      <w:r w:rsidRPr="00CC24B5">
        <w:rPr>
          <w:rFonts w:ascii="Calibri" w:eastAsia="Calibri" w:hAnsi="Calibri" w:cs="Calibri"/>
          <w:b/>
          <w:bCs/>
          <w:color w:val="2E75B6"/>
          <w:sz w:val="28"/>
          <w:szCs w:val="28"/>
        </w:rPr>
        <w:t>3.2.1 Analiza tensiunii medii inregistrate</w:t>
      </w:r>
      <w:bookmarkEnd w:id="14"/>
    </w:p>
    <w:p w:rsidR="00CC24B5" w:rsidRPr="00CC24B5" w:rsidRDefault="00CC24B5" w:rsidP="00CC24B5">
      <w:pPr>
        <w:spacing w:before="40" w:after="240" w:line="240" w:lineRule="auto"/>
        <w:jc w:val="center"/>
        <w:rPr>
          <w:rFonts w:ascii="Arial" w:eastAsia="Arial" w:hAnsi="Arial" w:cs="Arial"/>
        </w:rPr>
      </w:pPr>
      <w:r w:rsidRPr="00CC24B5">
        <w:rPr>
          <w:rFonts w:ascii="Calibri" w:eastAsia="Calibri" w:hAnsi="Calibri" w:cs="Calibri"/>
          <w:i/>
          <w:iCs/>
          <w:color w:val="595959"/>
          <w:sz w:val="20"/>
        </w:rPr>
        <w:t>Figura 3.2 – Distributia valorilor medii de tensiune la nivelul concentratoarelor de date MT</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4200"/>
        <w:gridCol w:w="1800"/>
        <w:gridCol w:w="1260"/>
        <w:gridCol w:w="2100"/>
      </w:tblGrid>
      <w:tr w:rsidR="00CC24B5" w:rsidRPr="00CC24B5" w:rsidTr="00CC24B5">
        <w:trPr>
          <w:tblHeader/>
        </w:trPr>
        <w:tc>
          <w:tcPr>
            <w:tcW w:w="4200" w:type="dxa"/>
            <w:tcBorders>
              <w:top w:val="single" w:sz="1" w:space="0" w:color="BFBFBF"/>
              <w:left w:val="single" w:sz="1" w:space="0" w:color="BFBFBF"/>
              <w:bottom w:val="single" w:sz="1" w:space="0" w:color="BFBFBF"/>
              <w:right w:val="single" w:sz="1" w:space="0" w:color="BFBFBF"/>
            </w:tcBorders>
            <w:shd w:val="clear" w:color="auto" w:fill="2E75B6"/>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b/>
                <w:bCs/>
                <w:color w:val="FFFFFF"/>
                <w:sz w:val="20"/>
                <w:szCs w:val="20"/>
              </w:rPr>
              <w:t>Interval tensiune medie</w:t>
            </w:r>
          </w:p>
        </w:tc>
        <w:tc>
          <w:tcPr>
            <w:tcW w:w="1800" w:type="dxa"/>
            <w:tcBorders>
              <w:top w:val="single" w:sz="1" w:space="0" w:color="BFBFBF"/>
              <w:left w:val="single" w:sz="1" w:space="0" w:color="BFBFBF"/>
              <w:bottom w:val="single" w:sz="1" w:space="0" w:color="BFBFBF"/>
              <w:right w:val="single" w:sz="1" w:space="0" w:color="BFBFBF"/>
            </w:tcBorders>
            <w:shd w:val="clear" w:color="auto" w:fill="2E75B6"/>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b/>
                <w:bCs/>
                <w:color w:val="FFFFFF"/>
                <w:sz w:val="20"/>
                <w:szCs w:val="20"/>
              </w:rPr>
              <w:t>Nr. puncte de masura</w:t>
            </w:r>
          </w:p>
        </w:tc>
        <w:tc>
          <w:tcPr>
            <w:tcW w:w="1260" w:type="dxa"/>
            <w:tcBorders>
              <w:top w:val="single" w:sz="1" w:space="0" w:color="BFBFBF"/>
              <w:left w:val="single" w:sz="1" w:space="0" w:color="BFBFBF"/>
              <w:bottom w:val="single" w:sz="1" w:space="0" w:color="BFBFBF"/>
              <w:right w:val="single" w:sz="1" w:space="0" w:color="BFBFBF"/>
            </w:tcBorders>
            <w:shd w:val="clear" w:color="auto" w:fill="2E75B6"/>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b/>
                <w:bCs/>
                <w:color w:val="FFFFFF"/>
                <w:sz w:val="20"/>
                <w:szCs w:val="20"/>
              </w:rPr>
              <w:t>Pondere</w:t>
            </w:r>
          </w:p>
        </w:tc>
        <w:tc>
          <w:tcPr>
            <w:tcW w:w="2100" w:type="dxa"/>
            <w:tcBorders>
              <w:top w:val="single" w:sz="1" w:space="0" w:color="BFBFBF"/>
              <w:left w:val="single" w:sz="1" w:space="0" w:color="BFBFBF"/>
              <w:bottom w:val="single" w:sz="1" w:space="0" w:color="BFBFBF"/>
              <w:right w:val="single" w:sz="1" w:space="0" w:color="BFBFBF"/>
            </w:tcBorders>
            <w:shd w:val="clear" w:color="auto" w:fill="2E75B6"/>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b/>
                <w:bCs/>
                <w:color w:val="FFFFFF"/>
                <w:sz w:val="20"/>
                <w:szCs w:val="20"/>
              </w:rPr>
              <w:t>Calificare</w:t>
            </w:r>
          </w:p>
        </w:tc>
      </w:tr>
      <w:tr w:rsidR="00CC24B5" w:rsidRPr="00CC24B5" w:rsidTr="00CC24B5">
        <w:tc>
          <w:tcPr>
            <w:tcW w:w="4200" w:type="dxa"/>
            <w:tcBorders>
              <w:top w:val="single" w:sz="1" w:space="0" w:color="BFBFBF"/>
              <w:left w:val="single" w:sz="1" w:space="0" w:color="BFBFBF"/>
              <w:bottom w:val="single" w:sz="1" w:space="0" w:color="BFBFBF"/>
              <w:right w:val="single" w:sz="1" w:space="0" w:color="BFBFBF"/>
            </w:tcBorders>
            <w:shd w:val="clear" w:color="auto" w:fill="FFFFFF"/>
            <w:tcMar>
              <w:top w:w="60" w:type="dxa"/>
              <w:left w:w="120" w:type="dxa"/>
              <w:bottom w:w="60" w:type="dxa"/>
              <w:right w:w="120" w:type="dxa"/>
            </w:tcMar>
          </w:tcPr>
          <w:p w:rsidR="00CC24B5" w:rsidRPr="00CC24B5" w:rsidRDefault="00CC24B5" w:rsidP="00CC24B5">
            <w:pPr>
              <w:spacing w:before="40" w:after="40" w:line="240" w:lineRule="auto"/>
              <w:rPr>
                <w:rFonts w:ascii="Arial" w:eastAsia="Arial" w:hAnsi="Arial" w:cs="Arial"/>
              </w:rPr>
            </w:pPr>
            <w:r w:rsidRPr="00CC24B5">
              <w:rPr>
                <w:rFonts w:ascii="Calibri" w:eastAsia="Calibri" w:hAnsi="Calibri" w:cs="Calibri"/>
                <w:sz w:val="20"/>
                <w:szCs w:val="20"/>
              </w:rPr>
              <w:t>&lt; 207 V</w:t>
            </w:r>
          </w:p>
        </w:tc>
        <w:tc>
          <w:tcPr>
            <w:tcW w:w="1800" w:type="dxa"/>
            <w:tcBorders>
              <w:top w:val="single" w:sz="1" w:space="0" w:color="BFBFBF"/>
              <w:left w:val="single" w:sz="1" w:space="0" w:color="BFBFBF"/>
              <w:bottom w:val="single" w:sz="1" w:space="0" w:color="BFBFBF"/>
              <w:right w:val="single" w:sz="1" w:space="0" w:color="BFBFBF"/>
            </w:tcBorders>
            <w:shd w:val="clear" w:color="auto" w:fill="FFFFFF"/>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0</w:t>
            </w:r>
          </w:p>
        </w:tc>
        <w:tc>
          <w:tcPr>
            <w:tcW w:w="1260" w:type="dxa"/>
            <w:tcBorders>
              <w:top w:val="single" w:sz="1" w:space="0" w:color="BFBFBF"/>
              <w:left w:val="single" w:sz="1" w:space="0" w:color="BFBFBF"/>
              <w:bottom w:val="single" w:sz="1" w:space="0" w:color="BFBFBF"/>
              <w:right w:val="single" w:sz="1" w:space="0" w:color="BFBFBF"/>
            </w:tcBorders>
            <w:shd w:val="clear" w:color="auto" w:fill="FFFFFF"/>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0%</w:t>
            </w:r>
          </w:p>
        </w:tc>
        <w:tc>
          <w:tcPr>
            <w:tcW w:w="2100" w:type="dxa"/>
            <w:tcBorders>
              <w:top w:val="single" w:sz="1" w:space="0" w:color="BFBFBF"/>
              <w:left w:val="single" w:sz="1" w:space="0" w:color="BFBFBF"/>
              <w:bottom w:val="single" w:sz="1" w:space="0" w:color="BFBFBF"/>
              <w:right w:val="single" w:sz="1" w:space="0" w:color="BFBFBF"/>
            </w:tcBorders>
            <w:shd w:val="clear" w:color="auto" w:fill="FFFFFF"/>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Neconform</w:t>
            </w:r>
          </w:p>
        </w:tc>
      </w:tr>
      <w:tr w:rsidR="00CC24B5" w:rsidRPr="00CC24B5" w:rsidTr="00CC24B5">
        <w:tc>
          <w:tcPr>
            <w:tcW w:w="4200" w:type="dxa"/>
            <w:tcBorders>
              <w:top w:val="single" w:sz="1" w:space="0" w:color="BFBFBF"/>
              <w:left w:val="single" w:sz="1" w:space="0" w:color="BFBFBF"/>
              <w:bottom w:val="single" w:sz="1" w:space="0" w:color="BFBFBF"/>
              <w:right w:val="single" w:sz="1" w:space="0" w:color="BFBFBF"/>
            </w:tcBorders>
            <w:shd w:val="clear" w:color="auto" w:fill="F2F2F2"/>
            <w:tcMar>
              <w:top w:w="60" w:type="dxa"/>
              <w:left w:w="120" w:type="dxa"/>
              <w:bottom w:w="60" w:type="dxa"/>
              <w:right w:w="120" w:type="dxa"/>
            </w:tcMar>
          </w:tcPr>
          <w:p w:rsidR="00CC24B5" w:rsidRPr="00CC24B5" w:rsidRDefault="00CC24B5" w:rsidP="00CC24B5">
            <w:pPr>
              <w:spacing w:before="40" w:after="40" w:line="240" w:lineRule="auto"/>
              <w:rPr>
                <w:rFonts w:ascii="Arial" w:eastAsia="Arial" w:hAnsi="Arial" w:cs="Arial"/>
              </w:rPr>
            </w:pPr>
            <w:r w:rsidRPr="00CC24B5">
              <w:rPr>
                <w:rFonts w:ascii="Calibri" w:eastAsia="Calibri" w:hAnsi="Calibri" w:cs="Calibri"/>
                <w:sz w:val="20"/>
                <w:szCs w:val="20"/>
              </w:rPr>
              <w:t xml:space="preserve">207 V – 241,5 V </w:t>
            </w:r>
          </w:p>
        </w:tc>
        <w:tc>
          <w:tcPr>
            <w:tcW w:w="1800" w:type="dxa"/>
            <w:tcBorders>
              <w:top w:val="single" w:sz="1" w:space="0" w:color="BFBFBF"/>
              <w:left w:val="single" w:sz="1" w:space="0" w:color="BFBFBF"/>
              <w:bottom w:val="single" w:sz="1" w:space="0" w:color="BFBFBF"/>
              <w:right w:val="single" w:sz="1" w:space="0" w:color="BFBFBF"/>
            </w:tcBorders>
            <w:shd w:val="clear" w:color="auto" w:fill="F2F2F2"/>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834</w:t>
            </w:r>
          </w:p>
        </w:tc>
        <w:tc>
          <w:tcPr>
            <w:tcW w:w="1260" w:type="dxa"/>
            <w:tcBorders>
              <w:top w:val="single" w:sz="1" w:space="0" w:color="BFBFBF"/>
              <w:left w:val="single" w:sz="1" w:space="0" w:color="BFBFBF"/>
              <w:bottom w:val="single" w:sz="1" w:space="0" w:color="BFBFBF"/>
              <w:right w:val="single" w:sz="1" w:space="0" w:color="BFBFBF"/>
            </w:tcBorders>
            <w:shd w:val="clear" w:color="auto" w:fill="F2F2F2"/>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39,90%</w:t>
            </w:r>
          </w:p>
        </w:tc>
        <w:tc>
          <w:tcPr>
            <w:tcW w:w="2100" w:type="dxa"/>
            <w:tcBorders>
              <w:top w:val="single" w:sz="1" w:space="0" w:color="BFBFBF"/>
              <w:left w:val="single" w:sz="1" w:space="0" w:color="BFBFBF"/>
              <w:bottom w:val="single" w:sz="1" w:space="0" w:color="BFBFBF"/>
              <w:right w:val="single" w:sz="1" w:space="0" w:color="BFBFBF"/>
            </w:tcBorders>
            <w:shd w:val="clear" w:color="auto" w:fill="F2F2F2"/>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Normal</w:t>
            </w:r>
          </w:p>
        </w:tc>
      </w:tr>
      <w:tr w:rsidR="00CC24B5" w:rsidRPr="00CC24B5" w:rsidTr="00CC24B5">
        <w:tc>
          <w:tcPr>
            <w:tcW w:w="4200" w:type="dxa"/>
            <w:tcBorders>
              <w:top w:val="single" w:sz="1" w:space="0" w:color="BFBFBF"/>
              <w:left w:val="single" w:sz="1" w:space="0" w:color="BFBFBF"/>
              <w:bottom w:val="single" w:sz="1" w:space="0" w:color="BFBFBF"/>
              <w:right w:val="single" w:sz="1" w:space="0" w:color="BFBFBF"/>
            </w:tcBorders>
            <w:shd w:val="clear" w:color="auto" w:fill="FFFFFF"/>
            <w:tcMar>
              <w:top w:w="60" w:type="dxa"/>
              <w:left w:w="120" w:type="dxa"/>
              <w:bottom w:w="60" w:type="dxa"/>
              <w:right w:w="120" w:type="dxa"/>
            </w:tcMar>
          </w:tcPr>
          <w:p w:rsidR="00CC24B5" w:rsidRPr="00CC24B5" w:rsidRDefault="00CC24B5" w:rsidP="00CC24B5">
            <w:pPr>
              <w:spacing w:before="40" w:after="40" w:line="240" w:lineRule="auto"/>
              <w:rPr>
                <w:rFonts w:ascii="Arial" w:eastAsia="Arial" w:hAnsi="Arial" w:cs="Arial"/>
              </w:rPr>
            </w:pPr>
            <w:r w:rsidRPr="00CC24B5">
              <w:rPr>
                <w:rFonts w:ascii="Calibri" w:eastAsia="Calibri" w:hAnsi="Calibri" w:cs="Calibri"/>
                <w:sz w:val="20"/>
                <w:szCs w:val="20"/>
              </w:rPr>
              <w:t>241,5 V – 253 V</w:t>
            </w:r>
          </w:p>
        </w:tc>
        <w:tc>
          <w:tcPr>
            <w:tcW w:w="1800" w:type="dxa"/>
            <w:tcBorders>
              <w:top w:val="single" w:sz="1" w:space="0" w:color="BFBFBF"/>
              <w:left w:val="single" w:sz="1" w:space="0" w:color="BFBFBF"/>
              <w:bottom w:val="single" w:sz="1" w:space="0" w:color="BFBFBF"/>
              <w:right w:val="single" w:sz="1" w:space="0" w:color="BFBFBF"/>
            </w:tcBorders>
            <w:shd w:val="clear" w:color="auto" w:fill="FFFFFF"/>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1.237</w:t>
            </w:r>
          </w:p>
        </w:tc>
        <w:tc>
          <w:tcPr>
            <w:tcW w:w="1260" w:type="dxa"/>
            <w:tcBorders>
              <w:top w:val="single" w:sz="1" w:space="0" w:color="BFBFBF"/>
              <w:left w:val="single" w:sz="1" w:space="0" w:color="BFBFBF"/>
              <w:bottom w:val="single" w:sz="1" w:space="0" w:color="BFBFBF"/>
              <w:right w:val="single" w:sz="1" w:space="0" w:color="BFBFBF"/>
            </w:tcBorders>
            <w:shd w:val="clear" w:color="auto" w:fill="FFFFFF"/>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59,19%</w:t>
            </w:r>
          </w:p>
        </w:tc>
        <w:tc>
          <w:tcPr>
            <w:tcW w:w="2100" w:type="dxa"/>
            <w:tcBorders>
              <w:top w:val="single" w:sz="1" w:space="0" w:color="BFBFBF"/>
              <w:left w:val="single" w:sz="1" w:space="0" w:color="BFBFBF"/>
              <w:bottom w:val="single" w:sz="1" w:space="0" w:color="BFBFBF"/>
              <w:right w:val="single" w:sz="1" w:space="0" w:color="BFBFBF"/>
            </w:tcBorders>
            <w:shd w:val="clear" w:color="auto" w:fill="FFFFFF"/>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Normal</w:t>
            </w:r>
          </w:p>
        </w:tc>
      </w:tr>
      <w:tr w:rsidR="00CC24B5" w:rsidRPr="00CC24B5" w:rsidTr="00CC24B5">
        <w:tc>
          <w:tcPr>
            <w:tcW w:w="4200" w:type="dxa"/>
            <w:tcBorders>
              <w:top w:val="single" w:sz="1" w:space="0" w:color="BFBFBF"/>
              <w:left w:val="single" w:sz="1" w:space="0" w:color="BFBFBF"/>
              <w:bottom w:val="single" w:sz="1" w:space="0" w:color="BFBFBF"/>
              <w:right w:val="single" w:sz="1" w:space="0" w:color="BFBFBF"/>
            </w:tcBorders>
            <w:shd w:val="clear" w:color="auto" w:fill="F2F2F2"/>
            <w:tcMar>
              <w:top w:w="60" w:type="dxa"/>
              <w:left w:w="120" w:type="dxa"/>
              <w:bottom w:w="60" w:type="dxa"/>
              <w:right w:w="120" w:type="dxa"/>
            </w:tcMar>
          </w:tcPr>
          <w:p w:rsidR="00CC24B5" w:rsidRPr="00CC24B5" w:rsidRDefault="00CC24B5" w:rsidP="00CC24B5">
            <w:pPr>
              <w:spacing w:before="40" w:after="40" w:line="240" w:lineRule="auto"/>
              <w:rPr>
                <w:rFonts w:ascii="Arial" w:eastAsia="Arial" w:hAnsi="Arial" w:cs="Arial"/>
              </w:rPr>
            </w:pPr>
            <w:r w:rsidRPr="00CC24B5">
              <w:rPr>
                <w:rFonts w:ascii="Calibri" w:eastAsia="Calibri" w:hAnsi="Calibri" w:cs="Calibri"/>
                <w:sz w:val="20"/>
                <w:szCs w:val="20"/>
              </w:rPr>
              <w:t xml:space="preserve">&gt; 253 V </w:t>
            </w:r>
          </w:p>
        </w:tc>
        <w:tc>
          <w:tcPr>
            <w:tcW w:w="1800" w:type="dxa"/>
            <w:tcBorders>
              <w:top w:val="single" w:sz="1" w:space="0" w:color="BFBFBF"/>
              <w:left w:val="single" w:sz="1" w:space="0" w:color="BFBFBF"/>
              <w:bottom w:val="single" w:sz="1" w:space="0" w:color="BFBFBF"/>
              <w:right w:val="single" w:sz="1" w:space="0" w:color="BFBFBF"/>
            </w:tcBorders>
            <w:shd w:val="clear" w:color="auto" w:fill="F2F2F2"/>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19</w:t>
            </w:r>
          </w:p>
        </w:tc>
        <w:tc>
          <w:tcPr>
            <w:tcW w:w="1260" w:type="dxa"/>
            <w:tcBorders>
              <w:top w:val="single" w:sz="1" w:space="0" w:color="BFBFBF"/>
              <w:left w:val="single" w:sz="1" w:space="0" w:color="BFBFBF"/>
              <w:bottom w:val="single" w:sz="1" w:space="0" w:color="BFBFBF"/>
              <w:right w:val="single" w:sz="1" w:space="0" w:color="BFBFBF"/>
            </w:tcBorders>
            <w:shd w:val="clear" w:color="auto" w:fill="F2F2F2"/>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0,91%</w:t>
            </w:r>
          </w:p>
        </w:tc>
        <w:tc>
          <w:tcPr>
            <w:tcW w:w="2100" w:type="dxa"/>
            <w:tcBorders>
              <w:top w:val="single" w:sz="1" w:space="0" w:color="BFBFBF"/>
              <w:left w:val="single" w:sz="1" w:space="0" w:color="BFBFBF"/>
              <w:bottom w:val="single" w:sz="1" w:space="0" w:color="BFBFBF"/>
              <w:right w:val="single" w:sz="1" w:space="0" w:color="BFBFBF"/>
            </w:tcBorders>
            <w:shd w:val="clear" w:color="auto" w:fill="F2F2F2"/>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szCs w:val="20"/>
              </w:rPr>
              <w:t xml:space="preserve">Atentie </w:t>
            </w:r>
          </w:p>
        </w:tc>
      </w:tr>
      <w:tr w:rsidR="00CC24B5" w:rsidRPr="00CC24B5" w:rsidTr="00CC24B5">
        <w:tc>
          <w:tcPr>
            <w:tcW w:w="4200" w:type="dxa"/>
            <w:tcBorders>
              <w:top w:val="single" w:sz="1" w:space="0" w:color="BFBFBF"/>
              <w:left w:val="single" w:sz="1" w:space="0" w:color="BFBFBF"/>
              <w:bottom w:val="single" w:sz="1" w:space="0" w:color="BFBFBF"/>
              <w:right w:val="single" w:sz="1" w:space="0" w:color="BFBFBF"/>
            </w:tcBorders>
            <w:shd w:val="clear" w:color="auto" w:fill="DEEBF7"/>
            <w:tcMar>
              <w:top w:w="60" w:type="dxa"/>
              <w:left w:w="120" w:type="dxa"/>
              <w:bottom w:w="60" w:type="dxa"/>
              <w:right w:w="120" w:type="dxa"/>
            </w:tcMar>
          </w:tcPr>
          <w:p w:rsidR="00CC24B5" w:rsidRPr="00CC24B5" w:rsidRDefault="00CC24B5" w:rsidP="00CC24B5">
            <w:pPr>
              <w:spacing w:before="40" w:after="40" w:line="240" w:lineRule="auto"/>
              <w:rPr>
                <w:rFonts w:ascii="Arial" w:eastAsia="Arial" w:hAnsi="Arial" w:cs="Arial"/>
              </w:rPr>
            </w:pPr>
            <w:r w:rsidRPr="00CC24B5">
              <w:rPr>
                <w:rFonts w:ascii="Calibri" w:eastAsia="Calibri" w:hAnsi="Calibri" w:cs="Calibri"/>
                <w:b/>
                <w:bCs/>
                <w:sz w:val="20"/>
                <w:szCs w:val="20"/>
              </w:rPr>
              <w:t>TOTAL</w:t>
            </w:r>
          </w:p>
        </w:tc>
        <w:tc>
          <w:tcPr>
            <w:tcW w:w="1800" w:type="dxa"/>
            <w:tcBorders>
              <w:top w:val="single" w:sz="1" w:space="0" w:color="BFBFBF"/>
              <w:left w:val="single" w:sz="1" w:space="0" w:color="BFBFBF"/>
              <w:bottom w:val="single" w:sz="1" w:space="0" w:color="BFBFBF"/>
              <w:right w:val="single" w:sz="1" w:space="0" w:color="BFBFBF"/>
            </w:tcBorders>
            <w:shd w:val="clear" w:color="auto" w:fill="DEEBF7"/>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b/>
                <w:bCs/>
                <w:sz w:val="20"/>
                <w:szCs w:val="20"/>
              </w:rPr>
              <w:t>2.090</w:t>
            </w:r>
          </w:p>
        </w:tc>
        <w:tc>
          <w:tcPr>
            <w:tcW w:w="1260" w:type="dxa"/>
            <w:tcBorders>
              <w:top w:val="single" w:sz="1" w:space="0" w:color="BFBFBF"/>
              <w:left w:val="single" w:sz="1" w:space="0" w:color="BFBFBF"/>
              <w:bottom w:val="single" w:sz="1" w:space="0" w:color="BFBFBF"/>
              <w:right w:val="single" w:sz="1" w:space="0" w:color="BFBFBF"/>
            </w:tcBorders>
            <w:shd w:val="clear" w:color="auto" w:fill="DEEBF7"/>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b/>
                <w:bCs/>
                <w:sz w:val="20"/>
                <w:szCs w:val="20"/>
              </w:rPr>
              <w:t>100%</w:t>
            </w:r>
          </w:p>
        </w:tc>
        <w:tc>
          <w:tcPr>
            <w:tcW w:w="2100" w:type="dxa"/>
            <w:tcBorders>
              <w:top w:val="single" w:sz="1" w:space="0" w:color="BFBFBF"/>
              <w:left w:val="single" w:sz="1" w:space="0" w:color="BFBFBF"/>
              <w:bottom w:val="single" w:sz="1" w:space="0" w:color="BFBFBF"/>
              <w:right w:val="single" w:sz="1" w:space="0" w:color="BFBFBF"/>
            </w:tcBorders>
            <w:shd w:val="clear" w:color="auto" w:fill="DEEBF7"/>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p>
        </w:tc>
      </w:tr>
    </w:tbl>
    <w:p w:rsidR="00CC24B5" w:rsidRPr="00CC24B5" w:rsidRDefault="00CC24B5" w:rsidP="00CC24B5">
      <w:pPr>
        <w:spacing w:after="120" w:line="240" w:lineRule="auto"/>
        <w:jc w:val="both"/>
        <w:rPr>
          <w:rFonts w:ascii="Arial" w:eastAsia="Arial" w:hAnsi="Arial" w:cs="Arial"/>
        </w:rPr>
      </w:pPr>
      <w:r w:rsidRPr="00CC24B5">
        <w:rPr>
          <w:rFonts w:ascii="Calibri" w:eastAsia="Calibri" w:hAnsi="Calibri" w:cs="Calibri"/>
        </w:rPr>
        <w:t>Valorile medii de tensiune inregistrate la cele 2.090 de puncte de masurare care evidentiaza o situatie global conforma cu limitele standardului. Niciun punct de masurare nu inregistreaza tensiune medie sub limita inferioara de 207 V.</w:t>
      </w:r>
    </w:p>
    <w:p w:rsidR="00CC24B5" w:rsidRPr="00CC24B5" w:rsidRDefault="00CC24B5" w:rsidP="00CC24B5">
      <w:pPr>
        <w:spacing w:after="120" w:line="240" w:lineRule="auto"/>
        <w:jc w:val="both"/>
        <w:rPr>
          <w:rFonts w:ascii="Arial" w:eastAsia="Arial" w:hAnsi="Arial" w:cs="Arial"/>
        </w:rPr>
      </w:pPr>
      <w:r w:rsidRPr="00CC24B5">
        <w:rPr>
          <w:rFonts w:ascii="Calibri" w:eastAsia="Calibri" w:hAnsi="Calibri" w:cs="Calibri"/>
        </w:rPr>
        <w:t xml:space="preserve">Distributia pe intervale releva ca 834 puncte (39,90%) se incadreaza in jumatatea inferioara </w:t>
      </w:r>
      <w:proofErr w:type="gramStart"/>
      <w:r w:rsidRPr="00CC24B5">
        <w:rPr>
          <w:rFonts w:ascii="Calibri" w:eastAsia="Calibri" w:hAnsi="Calibri" w:cs="Calibri"/>
        </w:rPr>
        <w:t>a</w:t>
      </w:r>
      <w:proofErr w:type="gramEnd"/>
      <w:r w:rsidRPr="00CC24B5">
        <w:rPr>
          <w:rFonts w:ascii="Calibri" w:eastAsia="Calibri" w:hAnsi="Calibri" w:cs="Calibri"/>
        </w:rPr>
        <w:t xml:space="preserve"> intervalului normal (207–241,5 V), 1.237 puncte (59,19%) in jumatatea superioara (241,5–253 V), iar 19 puncte (0,91%) depasesc limita superioara de 253 V, atingand tensiuni de maxim 255,22 V. </w:t>
      </w:r>
    </w:p>
    <w:p w:rsidR="00CC24B5" w:rsidRPr="00CC24B5" w:rsidRDefault="00CC24B5" w:rsidP="00CC24B5">
      <w:pPr>
        <w:spacing w:after="0" w:line="240" w:lineRule="auto"/>
        <w:rPr>
          <w:rFonts w:ascii="Arial" w:eastAsia="Arial" w:hAnsi="Arial" w:cs="Arial"/>
        </w:rPr>
      </w:pPr>
    </w:p>
    <w:p w:rsidR="00CC24B5" w:rsidRPr="00CC24B5" w:rsidRDefault="00CC24B5" w:rsidP="00CC24B5">
      <w:pPr>
        <w:spacing w:after="120" w:line="240" w:lineRule="auto"/>
        <w:jc w:val="both"/>
        <w:rPr>
          <w:rFonts w:ascii="Calibri" w:eastAsia="Calibri" w:hAnsi="Calibri" w:cs="Calibri"/>
        </w:rPr>
      </w:pPr>
      <w:r w:rsidRPr="00CC24B5">
        <w:rPr>
          <w:rFonts w:ascii="Calibri" w:eastAsia="Calibri" w:hAnsi="Calibri" w:cs="Calibri"/>
          <w:b/>
          <w:bCs/>
        </w:rPr>
        <w:t xml:space="preserve">Concluzie: </w:t>
      </w:r>
      <w:r w:rsidRPr="00CC24B5">
        <w:rPr>
          <w:rFonts w:ascii="Calibri" w:eastAsia="Calibri" w:hAnsi="Calibri" w:cs="Calibri"/>
        </w:rPr>
        <w:t>Cele 1237 puncte cu tensiuni peste 241.5 si Cele 19 puncte cu tensiune medie usor depasind 253 V trebuie investigate individual pentru a verifica daca depasirile limita se reflecta si pe reteaua de joasa tensiune aferenta si daca sunt necesare reglaje ale prizelor transformatoarelor.</w:t>
      </w:r>
    </w:p>
    <w:p w:rsidR="00CC24B5" w:rsidRPr="00CC24B5" w:rsidRDefault="00CC24B5" w:rsidP="00CC24B5">
      <w:pPr>
        <w:spacing w:after="120" w:line="240" w:lineRule="auto"/>
        <w:jc w:val="both"/>
        <w:rPr>
          <w:rFonts w:ascii="Arial" w:eastAsia="Arial" w:hAnsi="Arial" w:cs="Arial"/>
        </w:rPr>
      </w:pPr>
      <w:r w:rsidRPr="00CC24B5">
        <w:rPr>
          <w:rFonts w:ascii="Calibri" w:eastAsia="Calibri" w:hAnsi="Calibri" w:cs="Calibri"/>
          <w:b/>
          <w:color w:val="2E75B6"/>
          <w:sz w:val="28"/>
        </w:rPr>
        <w:t>3.3 Statii de transformare</w:t>
      </w:r>
    </w:p>
    <w:p w:rsidR="00CC24B5" w:rsidRPr="00CC24B5" w:rsidRDefault="00CC24B5" w:rsidP="00CC24B5">
      <w:pPr>
        <w:spacing w:before="60" w:after="100" w:line="240" w:lineRule="auto"/>
        <w:jc w:val="both"/>
        <w:rPr>
          <w:rFonts w:ascii="Arial" w:eastAsia="Arial" w:hAnsi="Arial" w:cs="Arial"/>
          <w:color w:val="000000"/>
        </w:rPr>
      </w:pPr>
      <w:r w:rsidRPr="00CC24B5">
        <w:rPr>
          <w:rFonts w:ascii="Calibri" w:eastAsia="Calibri" w:hAnsi="Calibri" w:cs="Calibri"/>
          <w:color w:val="000000"/>
        </w:rPr>
        <w:t xml:space="preserve">In ceea ce priveste nivelul de tensiune din cadrul statiilor de transformare, – DEO </w:t>
      </w:r>
      <w:proofErr w:type="gramStart"/>
      <w:r w:rsidRPr="00CC24B5">
        <w:rPr>
          <w:rFonts w:ascii="Calibri" w:eastAsia="Calibri" w:hAnsi="Calibri" w:cs="Calibri"/>
          <w:color w:val="000000"/>
        </w:rPr>
        <w:t>a</w:t>
      </w:r>
      <w:proofErr w:type="gramEnd"/>
      <w:r w:rsidRPr="00CC24B5">
        <w:rPr>
          <w:rFonts w:ascii="Calibri" w:eastAsia="Calibri" w:hAnsi="Calibri" w:cs="Calibri"/>
          <w:color w:val="000000"/>
        </w:rPr>
        <w:t xml:space="preserve"> analizat aceste statii si constata ca tensiunile se incadreaza in limitele prevazute de Standard.</w:t>
      </w:r>
    </w:p>
    <w:p w:rsidR="00CC24B5" w:rsidRPr="00CC24B5" w:rsidRDefault="00CC24B5" w:rsidP="00CC24B5">
      <w:pPr>
        <w:spacing w:before="60" w:after="100" w:line="240" w:lineRule="auto"/>
        <w:jc w:val="both"/>
        <w:rPr>
          <w:rFonts w:ascii="Arial" w:eastAsia="Arial" w:hAnsi="Arial" w:cs="Arial"/>
          <w:color w:val="000000"/>
        </w:rPr>
      </w:pPr>
      <w:r w:rsidRPr="00CC24B5">
        <w:rPr>
          <w:rFonts w:ascii="Calibri" w:eastAsia="Calibri" w:hAnsi="Calibri" w:cs="Calibri"/>
          <w:color w:val="000000"/>
        </w:rPr>
        <w:t>DEO va monitoriza permanent nivelul de tensiune pe bara statiilor de 110/20kV si va lua masuri operative in conditiile in care apar abateri de la cerintele standardului de performanta.</w:t>
      </w:r>
    </w:p>
    <w:p w:rsidR="00CC24B5" w:rsidRPr="00CC24B5" w:rsidRDefault="00CC24B5" w:rsidP="00CC24B5">
      <w:pPr>
        <w:spacing w:after="0" w:line="240" w:lineRule="auto"/>
        <w:rPr>
          <w:rFonts w:ascii="Arial" w:eastAsia="Arial" w:hAnsi="Arial" w:cs="Arial"/>
        </w:rPr>
      </w:pPr>
    </w:p>
    <w:p w:rsidR="00CC24B5" w:rsidRPr="00CC24B5" w:rsidRDefault="00CC24B5" w:rsidP="00CC24B5">
      <w:pPr>
        <w:keepNext/>
        <w:spacing w:before="360" w:line="240" w:lineRule="auto"/>
        <w:outlineLvl w:val="0"/>
        <w:rPr>
          <w:rFonts w:ascii="Arial" w:eastAsia="Arial" w:hAnsi="Arial" w:cs="Arial"/>
          <w:b/>
          <w:bCs/>
          <w:color w:val="1F4E79"/>
          <w:sz w:val="32"/>
          <w:szCs w:val="32"/>
        </w:rPr>
      </w:pPr>
      <w:bookmarkStart w:id="15" w:name="_Toc232168951"/>
      <w:r w:rsidRPr="00CC24B5">
        <w:rPr>
          <w:rFonts w:ascii="Calibri" w:eastAsia="Calibri" w:hAnsi="Calibri" w:cs="Calibri"/>
          <w:b/>
          <w:bCs/>
          <w:color w:val="1F4E79"/>
          <w:sz w:val="36"/>
          <w:szCs w:val="32"/>
        </w:rPr>
        <w:t>Capitolul 4. Concluzii si recomandari</w:t>
      </w:r>
      <w:bookmarkEnd w:id="15"/>
    </w:p>
    <w:p w:rsidR="00CC24B5" w:rsidRPr="00CC24B5" w:rsidRDefault="00CC24B5" w:rsidP="00CC24B5">
      <w:pPr>
        <w:spacing w:after="0" w:line="240" w:lineRule="auto"/>
        <w:rPr>
          <w:rFonts w:ascii="Arial" w:eastAsia="Arial" w:hAnsi="Arial" w:cs="Arial"/>
        </w:rPr>
      </w:pPr>
    </w:p>
    <w:tbl>
      <w:tblPr>
        <w:tblW w:w="79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2000"/>
        <w:gridCol w:w="4500"/>
        <w:gridCol w:w="1460"/>
      </w:tblGrid>
      <w:tr w:rsidR="00CC24B5" w:rsidRPr="00CC24B5" w:rsidTr="00CC24B5">
        <w:trPr>
          <w:tblHeader/>
        </w:trPr>
        <w:tc>
          <w:tcPr>
            <w:tcW w:w="2000" w:type="dxa"/>
            <w:tcBorders>
              <w:top w:val="single" w:sz="1" w:space="0" w:color="BFBFBF"/>
              <w:left w:val="single" w:sz="1" w:space="0" w:color="BFBFBF"/>
              <w:bottom w:val="single" w:sz="1" w:space="0" w:color="BFBFBF"/>
              <w:right w:val="single" w:sz="1" w:space="0" w:color="BFBFBF"/>
            </w:tcBorders>
            <w:shd w:val="clear" w:color="auto" w:fill="1F4E79"/>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b/>
                <w:bCs/>
                <w:color w:val="FFFFFF"/>
                <w:sz w:val="20"/>
                <w:szCs w:val="20"/>
              </w:rPr>
              <w:t>Parametru</w:t>
            </w:r>
          </w:p>
        </w:tc>
        <w:tc>
          <w:tcPr>
            <w:tcW w:w="4500" w:type="dxa"/>
            <w:tcBorders>
              <w:top w:val="single" w:sz="1" w:space="0" w:color="BFBFBF"/>
              <w:left w:val="single" w:sz="1" w:space="0" w:color="BFBFBF"/>
              <w:bottom w:val="single" w:sz="1" w:space="0" w:color="BFBFBF"/>
              <w:right w:val="single" w:sz="1" w:space="0" w:color="BFBFBF"/>
            </w:tcBorders>
            <w:shd w:val="clear" w:color="auto" w:fill="1F4E79"/>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b/>
                <w:bCs/>
                <w:color w:val="FFFFFF"/>
                <w:sz w:val="20"/>
                <w:szCs w:val="20"/>
              </w:rPr>
              <w:t>Situatie constatata</w:t>
            </w:r>
          </w:p>
        </w:tc>
        <w:tc>
          <w:tcPr>
            <w:tcW w:w="1460" w:type="dxa"/>
            <w:tcBorders>
              <w:top w:val="single" w:sz="1" w:space="0" w:color="BFBFBF"/>
              <w:left w:val="single" w:sz="1" w:space="0" w:color="BFBFBF"/>
              <w:bottom w:val="single" w:sz="1" w:space="0" w:color="BFBFBF"/>
              <w:right w:val="single" w:sz="1" w:space="0" w:color="BFBFBF"/>
            </w:tcBorders>
            <w:shd w:val="clear" w:color="auto" w:fill="1F4E79"/>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b/>
                <w:bCs/>
                <w:color w:val="FFFFFF"/>
                <w:sz w:val="20"/>
                <w:szCs w:val="20"/>
              </w:rPr>
              <w:t>Status</w:t>
            </w:r>
          </w:p>
        </w:tc>
      </w:tr>
      <w:tr w:rsidR="00CC24B5" w:rsidRPr="00CC24B5" w:rsidTr="00CC24B5">
        <w:tc>
          <w:tcPr>
            <w:tcW w:w="2000" w:type="dxa"/>
            <w:tcBorders>
              <w:top w:val="single" w:sz="1" w:space="0" w:color="BFBFBF"/>
              <w:left w:val="single" w:sz="1" w:space="0" w:color="BFBFBF"/>
              <w:bottom w:val="single" w:sz="1" w:space="0" w:color="BFBFBF"/>
              <w:right w:val="single" w:sz="1" w:space="0" w:color="BFBFBF"/>
            </w:tcBorders>
            <w:shd w:val="clear" w:color="auto" w:fill="EBF3FB"/>
            <w:tcMar>
              <w:top w:w="60" w:type="dxa"/>
              <w:left w:w="120" w:type="dxa"/>
              <w:bottom w:w="60" w:type="dxa"/>
              <w:right w:w="120" w:type="dxa"/>
            </w:tcMar>
          </w:tcPr>
          <w:p w:rsidR="00CC24B5" w:rsidRPr="00CC24B5" w:rsidRDefault="00CC24B5" w:rsidP="00CC24B5">
            <w:pPr>
              <w:spacing w:before="40" w:after="40" w:line="240" w:lineRule="auto"/>
              <w:rPr>
                <w:rFonts w:ascii="Arial" w:eastAsia="Arial" w:hAnsi="Arial" w:cs="Arial"/>
              </w:rPr>
            </w:pPr>
            <w:r w:rsidRPr="00CC24B5">
              <w:rPr>
                <w:rFonts w:ascii="Calibri" w:eastAsia="Calibri" w:hAnsi="Calibri" w:cs="Calibri"/>
                <w:sz w:val="19"/>
                <w:szCs w:val="19"/>
              </w:rPr>
              <w:t>Tensiunea</w:t>
            </w:r>
          </w:p>
        </w:tc>
        <w:tc>
          <w:tcPr>
            <w:tcW w:w="4500" w:type="dxa"/>
            <w:tcBorders>
              <w:top w:val="single" w:sz="1" w:space="0" w:color="BFBFBF"/>
              <w:left w:val="single" w:sz="1" w:space="0" w:color="BFBFBF"/>
              <w:bottom w:val="single" w:sz="1" w:space="0" w:color="BFBFBF"/>
              <w:right w:val="single" w:sz="1" w:space="0" w:color="BFBFBF"/>
            </w:tcBorders>
            <w:shd w:val="clear" w:color="auto" w:fill="EBF3FB"/>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sz w:val="19"/>
                <w:szCs w:val="19"/>
              </w:rPr>
            </w:pPr>
            <w:r w:rsidRPr="00CC24B5">
              <w:rPr>
                <w:rFonts w:ascii="Calibri" w:eastAsia="Calibri" w:hAnsi="Calibri" w:cs="Calibri"/>
                <w:sz w:val="19"/>
                <w:szCs w:val="19"/>
              </w:rPr>
              <w:t>73.86% din posturi – valori medii in interval normal [207–241.5 V]</w:t>
            </w:r>
          </w:p>
          <w:p w:rsidR="00CC24B5" w:rsidRPr="00CC24B5" w:rsidRDefault="00CC24B5" w:rsidP="00CC24B5">
            <w:pPr>
              <w:spacing w:before="40" w:after="40" w:line="240" w:lineRule="auto"/>
              <w:jc w:val="center"/>
              <w:rPr>
                <w:rFonts w:ascii="Arial" w:eastAsia="Arial" w:hAnsi="Arial" w:cs="Arial"/>
                <w:sz w:val="19"/>
                <w:szCs w:val="19"/>
              </w:rPr>
            </w:pPr>
            <w:r w:rsidRPr="00CC24B5">
              <w:rPr>
                <w:rFonts w:ascii="Calibri" w:eastAsia="Calibri" w:hAnsi="Calibri" w:cs="Calibri"/>
                <w:sz w:val="19"/>
                <w:szCs w:val="19"/>
              </w:rPr>
              <w:t>25.97% din posturi – valori medii [241.5-253V]</w:t>
            </w:r>
          </w:p>
          <w:p w:rsidR="00CC24B5" w:rsidRPr="00CC24B5" w:rsidRDefault="00CC24B5" w:rsidP="00CC24B5">
            <w:pPr>
              <w:spacing w:before="40" w:after="40" w:line="240" w:lineRule="auto"/>
              <w:jc w:val="center"/>
              <w:rPr>
                <w:rFonts w:ascii="Arial" w:eastAsia="Arial" w:hAnsi="Arial" w:cs="Arial"/>
                <w:sz w:val="19"/>
                <w:szCs w:val="19"/>
              </w:rPr>
            </w:pPr>
            <w:r w:rsidRPr="00CC24B5">
              <w:rPr>
                <w:rFonts w:ascii="Calibri" w:eastAsia="Calibri" w:hAnsi="Calibri" w:cs="Calibri"/>
                <w:sz w:val="19"/>
                <w:szCs w:val="19"/>
              </w:rPr>
              <w:t>0.2% din posturi – valori medii peste 253V</w:t>
            </w:r>
          </w:p>
        </w:tc>
        <w:tc>
          <w:tcPr>
            <w:tcW w:w="1460" w:type="dxa"/>
            <w:tcBorders>
              <w:top w:val="single" w:sz="1" w:space="0" w:color="BFBFBF"/>
              <w:left w:val="single" w:sz="1" w:space="0" w:color="BFBFBF"/>
              <w:bottom w:val="single" w:sz="1" w:space="0" w:color="BFBFBF"/>
              <w:right w:val="single" w:sz="1" w:space="0" w:color="BFBFBF"/>
            </w:tcBorders>
            <w:shd w:val="clear" w:color="auto" w:fill="EBF3FB"/>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rPr>
              <w:t>Se prevad masuri</w:t>
            </w:r>
          </w:p>
        </w:tc>
      </w:tr>
      <w:tr w:rsidR="00CC24B5" w:rsidRPr="00CC24B5" w:rsidTr="00CC24B5">
        <w:tc>
          <w:tcPr>
            <w:tcW w:w="2000" w:type="dxa"/>
            <w:tcBorders>
              <w:top w:val="single" w:sz="1" w:space="0" w:color="BFBFBF"/>
              <w:left w:val="single" w:sz="1" w:space="0" w:color="BFBFBF"/>
              <w:bottom w:val="single" w:sz="1" w:space="0" w:color="BFBFBF"/>
              <w:right w:val="single" w:sz="1" w:space="0" w:color="BFBFBF"/>
            </w:tcBorders>
            <w:shd w:val="clear" w:color="auto" w:fill="FFFFFF"/>
            <w:tcMar>
              <w:top w:w="60" w:type="dxa"/>
              <w:left w:w="120" w:type="dxa"/>
              <w:bottom w:w="60" w:type="dxa"/>
              <w:right w:w="120" w:type="dxa"/>
            </w:tcMar>
          </w:tcPr>
          <w:p w:rsidR="00CC24B5" w:rsidRPr="00CC24B5" w:rsidRDefault="00CC24B5" w:rsidP="00CC24B5">
            <w:pPr>
              <w:spacing w:before="40" w:after="40" w:line="240" w:lineRule="auto"/>
              <w:rPr>
                <w:rFonts w:ascii="Arial" w:eastAsia="Arial" w:hAnsi="Arial" w:cs="Arial"/>
              </w:rPr>
            </w:pPr>
            <w:r w:rsidRPr="00CC24B5">
              <w:rPr>
                <w:rFonts w:ascii="Calibri" w:eastAsia="Calibri" w:hAnsi="Calibri" w:cs="Calibri"/>
                <w:sz w:val="19"/>
                <w:szCs w:val="19"/>
              </w:rPr>
              <w:t>Frecventa</w:t>
            </w:r>
          </w:p>
        </w:tc>
        <w:tc>
          <w:tcPr>
            <w:tcW w:w="4500" w:type="dxa"/>
            <w:tcBorders>
              <w:top w:val="single" w:sz="1" w:space="0" w:color="BFBFBF"/>
              <w:left w:val="single" w:sz="1" w:space="0" w:color="BFBFBF"/>
              <w:bottom w:val="single" w:sz="1" w:space="0" w:color="BFBFBF"/>
              <w:right w:val="single" w:sz="1" w:space="0" w:color="BFBFBF"/>
            </w:tcBorders>
            <w:shd w:val="clear" w:color="auto" w:fill="FFFFFF"/>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19"/>
                <w:szCs w:val="19"/>
              </w:rPr>
              <w:t>100% din posturi – frecventa in interval normal [49,5–50,5 Hz]</w:t>
            </w:r>
          </w:p>
        </w:tc>
        <w:tc>
          <w:tcPr>
            <w:tcW w:w="1460" w:type="dxa"/>
            <w:tcBorders>
              <w:top w:val="single" w:sz="1" w:space="0" w:color="BFBFBF"/>
              <w:left w:val="single" w:sz="1" w:space="0" w:color="BFBFBF"/>
              <w:bottom w:val="single" w:sz="1" w:space="0" w:color="BFBFBF"/>
              <w:right w:val="single" w:sz="1" w:space="0" w:color="BFBFBF"/>
            </w:tcBorders>
            <w:shd w:val="clear" w:color="auto" w:fill="FFFFFF"/>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rPr>
              <w:t>Nu se prevad masuri</w:t>
            </w:r>
          </w:p>
        </w:tc>
      </w:tr>
      <w:tr w:rsidR="00CC24B5" w:rsidRPr="00CC24B5" w:rsidTr="00CC24B5">
        <w:tc>
          <w:tcPr>
            <w:tcW w:w="2000" w:type="dxa"/>
            <w:tcBorders>
              <w:top w:val="single" w:sz="1" w:space="0" w:color="BFBFBF"/>
              <w:left w:val="single" w:sz="1" w:space="0" w:color="BFBFBF"/>
              <w:bottom w:val="single" w:sz="1" w:space="0" w:color="BFBFBF"/>
              <w:right w:val="single" w:sz="1" w:space="0" w:color="BFBFBF"/>
            </w:tcBorders>
            <w:shd w:val="clear" w:color="auto" w:fill="EBF3FB"/>
            <w:tcMar>
              <w:top w:w="60" w:type="dxa"/>
              <w:left w:w="120" w:type="dxa"/>
              <w:bottom w:w="60" w:type="dxa"/>
              <w:right w:w="120" w:type="dxa"/>
            </w:tcMar>
          </w:tcPr>
          <w:p w:rsidR="00CC24B5" w:rsidRPr="00CC24B5" w:rsidRDefault="00CC24B5" w:rsidP="00CC24B5">
            <w:pPr>
              <w:spacing w:before="40" w:after="40" w:line="240" w:lineRule="auto"/>
              <w:rPr>
                <w:rFonts w:ascii="Arial" w:eastAsia="Arial" w:hAnsi="Arial" w:cs="Arial"/>
              </w:rPr>
            </w:pPr>
            <w:r w:rsidRPr="00CC24B5">
              <w:rPr>
                <w:rFonts w:ascii="Calibri" w:eastAsia="Calibri" w:hAnsi="Calibri" w:cs="Calibri"/>
                <w:sz w:val="19"/>
                <w:szCs w:val="19"/>
              </w:rPr>
              <w:t>Armonici H2–H25</w:t>
            </w:r>
          </w:p>
        </w:tc>
        <w:tc>
          <w:tcPr>
            <w:tcW w:w="4500" w:type="dxa"/>
            <w:tcBorders>
              <w:top w:val="single" w:sz="1" w:space="0" w:color="BFBFBF"/>
              <w:left w:val="single" w:sz="1" w:space="0" w:color="BFBFBF"/>
              <w:bottom w:val="single" w:sz="1" w:space="0" w:color="BFBFBF"/>
              <w:right w:val="single" w:sz="1" w:space="0" w:color="BFBFBF"/>
            </w:tcBorders>
            <w:shd w:val="clear" w:color="auto" w:fill="EBF3FB"/>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19"/>
                <w:szCs w:val="19"/>
              </w:rPr>
              <w:t xml:space="preserve">Max. 2,85% depasiri (H6). </w:t>
            </w:r>
          </w:p>
        </w:tc>
        <w:tc>
          <w:tcPr>
            <w:tcW w:w="1460" w:type="dxa"/>
            <w:tcBorders>
              <w:top w:val="single" w:sz="1" w:space="0" w:color="BFBFBF"/>
              <w:left w:val="single" w:sz="1" w:space="0" w:color="BFBFBF"/>
              <w:bottom w:val="single" w:sz="1" w:space="0" w:color="BFBFBF"/>
              <w:right w:val="single" w:sz="1" w:space="0" w:color="BFBFBF"/>
            </w:tcBorders>
            <w:shd w:val="clear" w:color="auto" w:fill="EBF3FB"/>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rPr>
              <w:t>Se prevad masuri</w:t>
            </w:r>
          </w:p>
          <w:p w:rsidR="00CC24B5" w:rsidRPr="00CC24B5" w:rsidRDefault="00CC24B5" w:rsidP="00CC24B5">
            <w:pPr>
              <w:spacing w:before="40" w:after="40" w:line="240" w:lineRule="auto"/>
              <w:rPr>
                <w:rFonts w:ascii="Arial" w:eastAsia="Arial" w:hAnsi="Arial" w:cs="Arial"/>
              </w:rPr>
            </w:pPr>
          </w:p>
        </w:tc>
      </w:tr>
      <w:tr w:rsidR="00CC24B5" w:rsidRPr="00CC24B5" w:rsidTr="00CC24B5">
        <w:tc>
          <w:tcPr>
            <w:tcW w:w="2000" w:type="dxa"/>
            <w:tcBorders>
              <w:top w:val="single" w:sz="1" w:space="0" w:color="BFBFBF"/>
              <w:left w:val="single" w:sz="1" w:space="0" w:color="BFBFBF"/>
              <w:bottom w:val="single" w:sz="1" w:space="0" w:color="BFBFBF"/>
              <w:right w:val="single" w:sz="1" w:space="0" w:color="BFBFBF"/>
            </w:tcBorders>
            <w:shd w:val="clear" w:color="auto" w:fill="FFFFFF"/>
            <w:tcMar>
              <w:top w:w="60" w:type="dxa"/>
              <w:left w:w="120" w:type="dxa"/>
              <w:bottom w:w="60" w:type="dxa"/>
              <w:right w:w="120" w:type="dxa"/>
            </w:tcMar>
          </w:tcPr>
          <w:p w:rsidR="00CC24B5" w:rsidRPr="00CC24B5" w:rsidRDefault="00CC24B5" w:rsidP="00CC24B5">
            <w:pPr>
              <w:spacing w:before="40" w:after="40" w:line="240" w:lineRule="auto"/>
              <w:rPr>
                <w:rFonts w:ascii="Arial" w:eastAsia="Arial" w:hAnsi="Arial" w:cs="Arial"/>
              </w:rPr>
            </w:pPr>
            <w:r w:rsidRPr="00CC24B5">
              <w:rPr>
                <w:rFonts w:ascii="Calibri" w:eastAsia="Calibri" w:hAnsi="Calibri" w:cs="Calibri"/>
                <w:sz w:val="19"/>
                <w:szCs w:val="19"/>
              </w:rPr>
              <w:t>THD</w:t>
            </w:r>
          </w:p>
        </w:tc>
        <w:tc>
          <w:tcPr>
            <w:tcW w:w="4500" w:type="dxa"/>
            <w:tcBorders>
              <w:top w:val="single" w:sz="1" w:space="0" w:color="BFBFBF"/>
              <w:left w:val="single" w:sz="1" w:space="0" w:color="BFBFBF"/>
              <w:bottom w:val="single" w:sz="1" w:space="0" w:color="BFBFBF"/>
              <w:right w:val="single" w:sz="1" w:space="0" w:color="BFBFBF"/>
            </w:tcBorders>
            <w:shd w:val="clear" w:color="auto" w:fill="FFFFFF"/>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19"/>
                <w:szCs w:val="19"/>
              </w:rPr>
              <w:t>0,35% din posturi cu depasiri (15 posturi)</w:t>
            </w:r>
          </w:p>
        </w:tc>
        <w:tc>
          <w:tcPr>
            <w:tcW w:w="1460" w:type="dxa"/>
            <w:tcBorders>
              <w:top w:val="single" w:sz="1" w:space="0" w:color="BFBFBF"/>
              <w:left w:val="single" w:sz="1" w:space="0" w:color="BFBFBF"/>
              <w:bottom w:val="single" w:sz="1" w:space="0" w:color="BFBFBF"/>
              <w:right w:val="single" w:sz="1" w:space="0" w:color="BFBFBF"/>
            </w:tcBorders>
            <w:shd w:val="clear" w:color="auto" w:fill="FFFFFF"/>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rPr>
              <w:t>Se prevad masuri</w:t>
            </w:r>
          </w:p>
          <w:p w:rsidR="00CC24B5" w:rsidRPr="00CC24B5" w:rsidRDefault="00CC24B5" w:rsidP="00CC24B5">
            <w:pPr>
              <w:spacing w:before="40" w:after="40" w:line="240" w:lineRule="auto"/>
              <w:jc w:val="center"/>
              <w:rPr>
                <w:rFonts w:ascii="Arial" w:eastAsia="Arial" w:hAnsi="Arial" w:cs="Arial"/>
              </w:rPr>
            </w:pPr>
          </w:p>
        </w:tc>
      </w:tr>
      <w:tr w:rsidR="00CC24B5" w:rsidRPr="00CC24B5" w:rsidTr="00CC24B5">
        <w:tc>
          <w:tcPr>
            <w:tcW w:w="2000" w:type="dxa"/>
            <w:tcBorders>
              <w:top w:val="single" w:sz="1" w:space="0" w:color="BFBFBF"/>
              <w:left w:val="single" w:sz="1" w:space="0" w:color="BFBFBF"/>
              <w:bottom w:val="single" w:sz="1" w:space="0" w:color="BFBFBF"/>
              <w:right w:val="single" w:sz="1" w:space="0" w:color="BFBFBF"/>
            </w:tcBorders>
            <w:shd w:val="clear" w:color="auto" w:fill="EBF3FB"/>
            <w:tcMar>
              <w:top w:w="60" w:type="dxa"/>
              <w:left w:w="120" w:type="dxa"/>
              <w:bottom w:w="60" w:type="dxa"/>
              <w:right w:w="120" w:type="dxa"/>
            </w:tcMar>
          </w:tcPr>
          <w:p w:rsidR="00CC24B5" w:rsidRPr="00CC24B5" w:rsidRDefault="00CC24B5" w:rsidP="00CC24B5">
            <w:pPr>
              <w:spacing w:before="40" w:after="40" w:line="240" w:lineRule="auto"/>
              <w:rPr>
                <w:rFonts w:ascii="Arial" w:eastAsia="Arial" w:hAnsi="Arial" w:cs="Arial"/>
              </w:rPr>
            </w:pPr>
            <w:r w:rsidRPr="00CC24B5">
              <w:rPr>
                <w:rFonts w:ascii="Calibri" w:eastAsia="Calibri" w:hAnsi="Calibri" w:cs="Calibri"/>
                <w:sz w:val="19"/>
                <w:szCs w:val="19"/>
              </w:rPr>
              <w:t>Nesimetrie</w:t>
            </w:r>
          </w:p>
        </w:tc>
        <w:tc>
          <w:tcPr>
            <w:tcW w:w="4500" w:type="dxa"/>
            <w:tcBorders>
              <w:top w:val="single" w:sz="1" w:space="0" w:color="BFBFBF"/>
              <w:left w:val="single" w:sz="1" w:space="0" w:color="BFBFBF"/>
              <w:bottom w:val="single" w:sz="1" w:space="0" w:color="BFBFBF"/>
              <w:right w:val="single" w:sz="1" w:space="0" w:color="BFBFBF"/>
            </w:tcBorders>
            <w:shd w:val="clear" w:color="auto" w:fill="EBF3FB"/>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19"/>
                <w:szCs w:val="19"/>
              </w:rPr>
              <w:t>1,7% din posturi cu depasiri (73 posturi)</w:t>
            </w:r>
          </w:p>
        </w:tc>
        <w:tc>
          <w:tcPr>
            <w:tcW w:w="1460" w:type="dxa"/>
            <w:tcBorders>
              <w:top w:val="single" w:sz="1" w:space="0" w:color="BFBFBF"/>
              <w:left w:val="single" w:sz="1" w:space="0" w:color="BFBFBF"/>
              <w:bottom w:val="single" w:sz="1" w:space="0" w:color="BFBFBF"/>
              <w:right w:val="single" w:sz="1" w:space="0" w:color="BFBFBF"/>
            </w:tcBorders>
            <w:shd w:val="clear" w:color="auto" w:fill="EBF3FB"/>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rPr>
              <w:t>Se prevad masuri</w:t>
            </w:r>
          </w:p>
          <w:p w:rsidR="00CC24B5" w:rsidRPr="00CC24B5" w:rsidRDefault="00CC24B5" w:rsidP="00CC24B5">
            <w:pPr>
              <w:spacing w:before="40" w:after="40" w:line="240" w:lineRule="auto"/>
              <w:jc w:val="center"/>
              <w:rPr>
                <w:rFonts w:ascii="Arial" w:eastAsia="Arial" w:hAnsi="Arial" w:cs="Arial"/>
              </w:rPr>
            </w:pPr>
          </w:p>
        </w:tc>
      </w:tr>
      <w:tr w:rsidR="00CC24B5" w:rsidRPr="00CC24B5" w:rsidTr="00CC24B5">
        <w:tc>
          <w:tcPr>
            <w:tcW w:w="2000" w:type="dxa"/>
            <w:tcBorders>
              <w:top w:val="single" w:sz="1" w:space="0" w:color="BFBFBF"/>
              <w:left w:val="single" w:sz="1" w:space="0" w:color="BFBFBF"/>
              <w:bottom w:val="single" w:sz="1" w:space="0" w:color="BFBFBF"/>
              <w:right w:val="single" w:sz="1" w:space="0" w:color="BFBFBF"/>
            </w:tcBorders>
            <w:shd w:val="clear" w:color="auto" w:fill="EBF3FB"/>
            <w:tcMar>
              <w:top w:w="60" w:type="dxa"/>
              <w:left w:w="120" w:type="dxa"/>
              <w:bottom w:w="60" w:type="dxa"/>
              <w:right w:w="120" w:type="dxa"/>
            </w:tcMar>
          </w:tcPr>
          <w:p w:rsidR="00CC24B5" w:rsidRPr="00CC24B5" w:rsidRDefault="00CC24B5" w:rsidP="00CC24B5">
            <w:pPr>
              <w:spacing w:before="40" w:after="40" w:line="240" w:lineRule="auto"/>
              <w:rPr>
                <w:rFonts w:ascii="Arial" w:eastAsia="Arial" w:hAnsi="Arial" w:cs="Arial"/>
              </w:rPr>
            </w:pPr>
            <w:r w:rsidRPr="00CC24B5">
              <w:rPr>
                <w:rFonts w:ascii="Calibri" w:eastAsia="Calibri" w:hAnsi="Calibri" w:cs="Calibri"/>
                <w:sz w:val="19"/>
                <w:szCs w:val="19"/>
              </w:rPr>
              <w:t>Intreruperi scurte</w:t>
            </w:r>
          </w:p>
        </w:tc>
        <w:tc>
          <w:tcPr>
            <w:tcW w:w="4500" w:type="dxa"/>
            <w:tcBorders>
              <w:top w:val="single" w:sz="1" w:space="0" w:color="BFBFBF"/>
              <w:left w:val="single" w:sz="1" w:space="0" w:color="BFBFBF"/>
              <w:bottom w:val="single" w:sz="1" w:space="0" w:color="BFBFBF"/>
              <w:right w:val="single" w:sz="1" w:space="0" w:color="BFBFBF"/>
            </w:tcBorders>
            <w:shd w:val="clear" w:color="auto" w:fill="EBF3FB"/>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19"/>
                <w:szCs w:val="19"/>
              </w:rPr>
              <w:t>0,7% din posturi cu &gt;100 intreruperi/an</w:t>
            </w:r>
          </w:p>
        </w:tc>
        <w:tc>
          <w:tcPr>
            <w:tcW w:w="1460" w:type="dxa"/>
            <w:tcBorders>
              <w:top w:val="single" w:sz="1" w:space="0" w:color="BFBFBF"/>
              <w:left w:val="single" w:sz="1" w:space="0" w:color="BFBFBF"/>
              <w:bottom w:val="single" w:sz="1" w:space="0" w:color="BFBFBF"/>
              <w:right w:val="single" w:sz="1" w:space="0" w:color="BFBFBF"/>
            </w:tcBorders>
            <w:shd w:val="clear" w:color="auto" w:fill="EBF3FB"/>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rPr>
              <w:t>Se prevad masuri</w:t>
            </w:r>
          </w:p>
          <w:p w:rsidR="00CC24B5" w:rsidRPr="00CC24B5" w:rsidRDefault="00CC24B5" w:rsidP="00CC24B5">
            <w:pPr>
              <w:spacing w:before="40" w:after="40" w:line="240" w:lineRule="auto"/>
              <w:jc w:val="center"/>
              <w:rPr>
                <w:rFonts w:ascii="Arial" w:eastAsia="Arial" w:hAnsi="Arial" w:cs="Arial"/>
              </w:rPr>
            </w:pPr>
          </w:p>
        </w:tc>
      </w:tr>
      <w:tr w:rsidR="00CC24B5" w:rsidRPr="00CC24B5" w:rsidTr="00CC24B5">
        <w:tc>
          <w:tcPr>
            <w:tcW w:w="2000" w:type="dxa"/>
            <w:tcBorders>
              <w:top w:val="single" w:sz="1" w:space="0" w:color="BFBFBF"/>
              <w:left w:val="single" w:sz="1" w:space="0" w:color="BFBFBF"/>
              <w:bottom w:val="single" w:sz="1" w:space="0" w:color="BFBFBF"/>
              <w:right w:val="single" w:sz="1" w:space="0" w:color="BFBFBF"/>
            </w:tcBorders>
            <w:shd w:val="clear" w:color="auto" w:fill="FFFFFF"/>
            <w:tcMar>
              <w:top w:w="60" w:type="dxa"/>
              <w:left w:w="120" w:type="dxa"/>
              <w:bottom w:w="60" w:type="dxa"/>
              <w:right w:w="120" w:type="dxa"/>
            </w:tcMar>
          </w:tcPr>
          <w:p w:rsidR="00CC24B5" w:rsidRPr="00CC24B5" w:rsidRDefault="00CC24B5" w:rsidP="00CC24B5">
            <w:pPr>
              <w:spacing w:before="40" w:after="40" w:line="240" w:lineRule="auto"/>
              <w:rPr>
                <w:rFonts w:ascii="Arial" w:eastAsia="Arial" w:hAnsi="Arial" w:cs="Arial"/>
              </w:rPr>
            </w:pPr>
            <w:r w:rsidRPr="00CC24B5">
              <w:rPr>
                <w:rFonts w:ascii="Calibri" w:eastAsia="Calibri" w:hAnsi="Calibri" w:cs="Calibri"/>
                <w:sz w:val="19"/>
                <w:szCs w:val="19"/>
              </w:rPr>
              <w:t>Intreruperi lungi</w:t>
            </w:r>
          </w:p>
        </w:tc>
        <w:tc>
          <w:tcPr>
            <w:tcW w:w="4500" w:type="dxa"/>
            <w:tcBorders>
              <w:top w:val="single" w:sz="1" w:space="0" w:color="BFBFBF"/>
              <w:left w:val="single" w:sz="1" w:space="0" w:color="BFBFBF"/>
              <w:bottom w:val="single" w:sz="1" w:space="0" w:color="BFBFBF"/>
              <w:right w:val="single" w:sz="1" w:space="0" w:color="BFBFBF"/>
            </w:tcBorders>
            <w:shd w:val="clear" w:color="auto" w:fill="FFFFFF"/>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19"/>
                <w:szCs w:val="19"/>
              </w:rPr>
              <w:t>1645 din posturi cu &gt;8 intreruperi/an</w:t>
            </w:r>
          </w:p>
        </w:tc>
        <w:tc>
          <w:tcPr>
            <w:tcW w:w="1460" w:type="dxa"/>
            <w:tcBorders>
              <w:top w:val="single" w:sz="1" w:space="0" w:color="BFBFBF"/>
              <w:left w:val="single" w:sz="1" w:space="0" w:color="BFBFBF"/>
              <w:bottom w:val="single" w:sz="1" w:space="0" w:color="BFBFBF"/>
              <w:right w:val="single" w:sz="1" w:space="0" w:color="BFBFBF"/>
            </w:tcBorders>
            <w:shd w:val="clear" w:color="auto" w:fill="FFFFFF"/>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rPr>
              <w:t>Se prevad masuri</w:t>
            </w:r>
          </w:p>
          <w:p w:rsidR="00CC24B5" w:rsidRPr="00CC24B5" w:rsidRDefault="00CC24B5" w:rsidP="00CC24B5">
            <w:pPr>
              <w:spacing w:before="40" w:after="40" w:line="240" w:lineRule="auto"/>
              <w:jc w:val="center"/>
              <w:rPr>
                <w:rFonts w:ascii="Arial" w:eastAsia="Arial" w:hAnsi="Arial" w:cs="Arial"/>
              </w:rPr>
            </w:pPr>
          </w:p>
        </w:tc>
      </w:tr>
      <w:tr w:rsidR="00CC24B5" w:rsidRPr="00CC24B5" w:rsidTr="00CC24B5">
        <w:tc>
          <w:tcPr>
            <w:tcW w:w="2000" w:type="dxa"/>
            <w:tcBorders>
              <w:top w:val="single" w:sz="1" w:space="0" w:color="BFBFBF"/>
              <w:left w:val="single" w:sz="1" w:space="0" w:color="BFBFBF"/>
              <w:bottom w:val="single" w:sz="1" w:space="0" w:color="BFBFBF"/>
              <w:right w:val="single" w:sz="1" w:space="0" w:color="BFBFBF"/>
            </w:tcBorders>
            <w:shd w:val="clear" w:color="auto" w:fill="EBF3FB"/>
            <w:tcMar>
              <w:top w:w="60" w:type="dxa"/>
              <w:left w:w="120" w:type="dxa"/>
              <w:bottom w:w="60" w:type="dxa"/>
              <w:right w:w="120" w:type="dxa"/>
            </w:tcMar>
          </w:tcPr>
          <w:p w:rsidR="00CC24B5" w:rsidRPr="00CC24B5" w:rsidRDefault="00CC24B5" w:rsidP="00CC24B5">
            <w:pPr>
              <w:spacing w:before="40" w:after="40" w:line="240" w:lineRule="auto"/>
              <w:rPr>
                <w:rFonts w:ascii="Arial" w:eastAsia="Arial" w:hAnsi="Arial" w:cs="Arial"/>
              </w:rPr>
            </w:pPr>
            <w:r w:rsidRPr="00CC24B5">
              <w:rPr>
                <w:rFonts w:ascii="Calibri" w:eastAsia="Calibri" w:hAnsi="Calibri" w:cs="Calibri"/>
                <w:sz w:val="19"/>
                <w:szCs w:val="19"/>
              </w:rPr>
              <w:t>Intreruperi tranzitorii</w:t>
            </w:r>
          </w:p>
        </w:tc>
        <w:tc>
          <w:tcPr>
            <w:tcW w:w="4500" w:type="dxa"/>
            <w:tcBorders>
              <w:top w:val="single" w:sz="1" w:space="0" w:color="BFBFBF"/>
              <w:left w:val="single" w:sz="1" w:space="0" w:color="BFBFBF"/>
              <w:bottom w:val="single" w:sz="1" w:space="0" w:color="BFBFBF"/>
              <w:right w:val="single" w:sz="1" w:space="0" w:color="BFBFBF"/>
            </w:tcBorders>
            <w:shd w:val="clear" w:color="auto" w:fill="EBF3FB"/>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19"/>
                <w:szCs w:val="19"/>
              </w:rPr>
              <w:t>0,3% din posturi cu &gt;225 intreruperi tranzitorii/an</w:t>
            </w:r>
          </w:p>
        </w:tc>
        <w:tc>
          <w:tcPr>
            <w:tcW w:w="1460" w:type="dxa"/>
            <w:tcBorders>
              <w:top w:val="single" w:sz="1" w:space="0" w:color="BFBFBF"/>
              <w:left w:val="single" w:sz="1" w:space="0" w:color="BFBFBF"/>
              <w:bottom w:val="single" w:sz="1" w:space="0" w:color="BFBFBF"/>
              <w:right w:val="single" w:sz="1" w:space="0" w:color="BFBFBF"/>
            </w:tcBorders>
            <w:shd w:val="clear" w:color="auto" w:fill="EBF3FB"/>
            <w:tcMar>
              <w:top w:w="60" w:type="dxa"/>
              <w:left w:w="120" w:type="dxa"/>
              <w:bottom w:w="60" w:type="dxa"/>
              <w:right w:w="120" w:type="dxa"/>
            </w:tcMar>
          </w:tcPr>
          <w:p w:rsidR="00CC24B5" w:rsidRPr="00CC24B5" w:rsidRDefault="00CC24B5" w:rsidP="00CC24B5">
            <w:pPr>
              <w:spacing w:before="40" w:after="40" w:line="240" w:lineRule="auto"/>
              <w:jc w:val="center"/>
              <w:rPr>
                <w:rFonts w:ascii="Arial" w:eastAsia="Arial" w:hAnsi="Arial" w:cs="Arial"/>
              </w:rPr>
            </w:pPr>
            <w:r w:rsidRPr="00CC24B5">
              <w:rPr>
                <w:rFonts w:ascii="Calibri" w:eastAsia="Calibri" w:hAnsi="Calibri" w:cs="Calibri"/>
                <w:sz w:val="20"/>
              </w:rPr>
              <w:t>Se prevad masuri</w:t>
            </w:r>
          </w:p>
          <w:p w:rsidR="00CC24B5" w:rsidRPr="00CC24B5" w:rsidRDefault="00CC24B5" w:rsidP="00CC24B5">
            <w:pPr>
              <w:spacing w:before="40" w:after="40" w:line="240" w:lineRule="auto"/>
              <w:jc w:val="center"/>
              <w:rPr>
                <w:rFonts w:ascii="Arial" w:eastAsia="Arial" w:hAnsi="Arial" w:cs="Arial"/>
              </w:rPr>
            </w:pPr>
          </w:p>
        </w:tc>
      </w:tr>
    </w:tbl>
    <w:p w:rsidR="00CC24B5" w:rsidRPr="00CC24B5" w:rsidRDefault="00CC24B5" w:rsidP="00CC24B5">
      <w:pPr>
        <w:spacing w:before="160" w:after="0" w:line="240" w:lineRule="auto"/>
        <w:rPr>
          <w:rFonts w:ascii="Arial" w:eastAsia="Arial" w:hAnsi="Arial" w:cs="Arial"/>
        </w:rPr>
      </w:pPr>
    </w:p>
    <w:p w:rsidR="00CC24B5" w:rsidRPr="00CC24B5" w:rsidRDefault="00CC24B5" w:rsidP="00CC24B5">
      <w:pPr>
        <w:keepNext/>
        <w:spacing w:before="360" w:line="240" w:lineRule="auto"/>
        <w:outlineLvl w:val="0"/>
        <w:rPr>
          <w:rFonts w:ascii="Arial" w:eastAsia="Arial" w:hAnsi="Arial" w:cs="Arial"/>
          <w:b/>
          <w:bCs/>
          <w:color w:val="1F4E79"/>
          <w:sz w:val="32"/>
          <w:szCs w:val="32"/>
        </w:rPr>
      </w:pPr>
      <w:bookmarkStart w:id="16" w:name="_Toc232168952"/>
      <w:r w:rsidRPr="00CC24B5">
        <w:rPr>
          <w:rFonts w:ascii="Calibri" w:eastAsia="Calibri" w:hAnsi="Calibri" w:cs="Calibri"/>
          <w:b/>
          <w:bCs/>
          <w:color w:val="1F4E79"/>
          <w:sz w:val="36"/>
          <w:szCs w:val="32"/>
        </w:rPr>
        <w:t>Capitolul 5. Plan de masuri</w:t>
      </w:r>
      <w:bookmarkEnd w:id="16"/>
    </w:p>
    <w:p w:rsidR="00CC24B5" w:rsidRPr="00CC24B5" w:rsidRDefault="00CC24B5" w:rsidP="00CC24B5">
      <w:pPr>
        <w:spacing w:before="60" w:after="120" w:line="240" w:lineRule="auto"/>
        <w:ind w:left="720"/>
        <w:jc w:val="both"/>
        <w:rPr>
          <w:rFonts w:ascii="Arial" w:eastAsia="Arial" w:hAnsi="Arial" w:cs="Arial"/>
          <w:b/>
          <w:bCs/>
        </w:rPr>
      </w:pPr>
      <w:r w:rsidRPr="00CC24B5">
        <w:rPr>
          <w:rFonts w:ascii="Calibri" w:eastAsia="Calibri" w:hAnsi="Calibri" w:cs="Calibri"/>
          <w:b/>
          <w:bCs/>
        </w:rPr>
        <w:t>1.Tensiuni.</w:t>
      </w:r>
    </w:p>
    <w:p w:rsidR="00CC24B5" w:rsidRPr="00CC24B5" w:rsidRDefault="00CC24B5" w:rsidP="00CC24B5">
      <w:pPr>
        <w:spacing w:before="60" w:after="120" w:line="240" w:lineRule="auto"/>
        <w:ind w:left="720"/>
        <w:jc w:val="both"/>
        <w:rPr>
          <w:rFonts w:ascii="Arial" w:eastAsia="Arial" w:hAnsi="Arial" w:cs="Arial"/>
          <w:color w:val="000000"/>
        </w:rPr>
      </w:pPr>
      <w:r w:rsidRPr="00CC24B5">
        <w:rPr>
          <w:rFonts w:ascii="Calibri" w:eastAsia="Calibri" w:hAnsi="Calibri" w:cs="Calibri"/>
        </w:rPr>
        <w:t>a) 3191 de posturi prezinta tensiuni medii in intervalul normal [207–241.5 V]</w:t>
      </w:r>
      <w:r w:rsidRPr="00CC24B5">
        <w:rPr>
          <w:rFonts w:ascii="Calibri" w:eastAsia="Calibri" w:hAnsi="Calibri" w:cs="Calibri"/>
          <w:color w:val="000000"/>
        </w:rPr>
        <w:t>, nu se propun masuri de remediere pentru aceasta categorie.</w:t>
      </w:r>
    </w:p>
    <w:p w:rsidR="00CC24B5" w:rsidRPr="00CC24B5" w:rsidRDefault="00CC24B5" w:rsidP="00CC24B5">
      <w:pPr>
        <w:spacing w:before="60" w:after="60" w:line="240" w:lineRule="auto"/>
        <w:ind w:left="720"/>
        <w:rPr>
          <w:rFonts w:ascii="Arial" w:eastAsia="Arial" w:hAnsi="Arial" w:cs="Arial"/>
          <w:color w:val="000000"/>
        </w:rPr>
      </w:pPr>
    </w:p>
    <w:p w:rsidR="00CC24B5" w:rsidRPr="00CC24B5" w:rsidRDefault="00CC24B5" w:rsidP="00CC24B5">
      <w:pPr>
        <w:spacing w:before="60" w:after="120" w:line="240" w:lineRule="auto"/>
        <w:ind w:left="720"/>
        <w:jc w:val="both"/>
        <w:rPr>
          <w:rFonts w:ascii="Arial" w:eastAsia="Arial" w:hAnsi="Arial" w:cs="Arial"/>
        </w:rPr>
      </w:pPr>
      <w:r w:rsidRPr="00CC24B5">
        <w:rPr>
          <w:rFonts w:ascii="Calibri" w:eastAsia="Calibri" w:hAnsi="Calibri" w:cs="Calibri"/>
        </w:rPr>
        <w:t xml:space="preserve">b) 1121 de posturi prezinta tensiuni medii in intervalul [241.5V – 253] din care: </w:t>
      </w:r>
    </w:p>
    <w:p w:rsidR="00CC24B5" w:rsidRPr="00CC24B5" w:rsidRDefault="00CC24B5" w:rsidP="00CC24B5">
      <w:pPr>
        <w:numPr>
          <w:ilvl w:val="0"/>
          <w:numId w:val="9"/>
        </w:numPr>
        <w:spacing w:before="60" w:after="120" w:line="240" w:lineRule="auto"/>
        <w:jc w:val="both"/>
        <w:rPr>
          <w:rFonts w:ascii="Arial" w:eastAsia="Arial" w:hAnsi="Arial" w:cs="Arial"/>
        </w:rPr>
      </w:pPr>
      <w:r w:rsidRPr="00CC24B5">
        <w:rPr>
          <w:rFonts w:ascii="Calibri" w:eastAsia="Calibri" w:hAnsi="Calibri" w:cs="Calibri"/>
        </w:rPr>
        <w:t>927 PT cu prosumatori si CEF-uri racordate pe liniile de MT: in conformitate cu Ordinul ANRE nr. 228/2019 privind prosumatorii si Ordinul ANRE nr. 208 pentru CEF-urile racordate pe MT, aceste instalatii functioneaza in plaja 0,9 Un – 1,1 Un (207 – 253 V). Prin urmare, DEO nu poate mentine tensiunea in plaja inferioara de 207 – 241,5 V fara a contraveni dreptului prosumatorilor/CEF-urilor de a functiona in intreaga plaja permisa de reglementarile in vigoare.</w:t>
      </w:r>
    </w:p>
    <w:p w:rsidR="00CC24B5" w:rsidRPr="00CC24B5" w:rsidRDefault="00CC24B5" w:rsidP="00CC24B5">
      <w:pPr>
        <w:spacing w:before="60" w:after="60" w:line="240" w:lineRule="auto"/>
        <w:ind w:left="1080"/>
        <w:rPr>
          <w:rFonts w:ascii="Arial" w:eastAsia="Arial" w:hAnsi="Arial" w:cs="Arial"/>
        </w:rPr>
      </w:pPr>
    </w:p>
    <w:p w:rsidR="00CC24B5" w:rsidRPr="00CC24B5" w:rsidRDefault="00CC24B5" w:rsidP="00CC24B5">
      <w:pPr>
        <w:spacing w:before="60" w:after="120" w:line="240" w:lineRule="auto"/>
        <w:ind w:left="1080"/>
        <w:jc w:val="both"/>
        <w:rPr>
          <w:rFonts w:ascii="Arial" w:eastAsia="Arial" w:hAnsi="Arial" w:cs="Arial"/>
          <w:b/>
          <w:bCs/>
        </w:rPr>
      </w:pPr>
      <w:r w:rsidRPr="00CC24B5">
        <w:rPr>
          <w:rFonts w:ascii="Calibri" w:eastAsia="Calibri" w:hAnsi="Calibri" w:cs="Calibri"/>
          <w:b/>
          <w:bCs/>
        </w:rPr>
        <w:t>Masurile propuse sunt:</w:t>
      </w:r>
    </w:p>
    <w:p w:rsidR="00CC24B5" w:rsidRPr="00CC24B5" w:rsidRDefault="00CC24B5" w:rsidP="00CC24B5">
      <w:pPr>
        <w:numPr>
          <w:ilvl w:val="0"/>
          <w:numId w:val="10"/>
        </w:numPr>
        <w:spacing w:before="60" w:after="120" w:line="240" w:lineRule="auto"/>
        <w:ind w:left="1134"/>
        <w:jc w:val="both"/>
        <w:rPr>
          <w:rFonts w:ascii="Arial" w:eastAsia="Arial" w:hAnsi="Arial" w:cs="Arial"/>
        </w:rPr>
      </w:pPr>
      <w:r w:rsidRPr="00CC24B5">
        <w:rPr>
          <w:rFonts w:ascii="Calibri" w:eastAsia="Calibri" w:hAnsi="Calibri" w:cs="Calibri"/>
        </w:rPr>
        <w:t>Coborarea plotului de reglaj al transformatorului in postul de transformare, in vederea readucerii tensiunii in limitele prevazute de Standard;</w:t>
      </w:r>
    </w:p>
    <w:p w:rsidR="00CC24B5" w:rsidRPr="00CC24B5" w:rsidRDefault="00CC24B5" w:rsidP="00CC24B5">
      <w:pPr>
        <w:numPr>
          <w:ilvl w:val="0"/>
          <w:numId w:val="10"/>
        </w:numPr>
        <w:spacing w:before="60" w:after="120" w:line="240" w:lineRule="auto"/>
        <w:ind w:left="1134"/>
        <w:jc w:val="both"/>
        <w:rPr>
          <w:rFonts w:ascii="Arial" w:eastAsia="Arial" w:hAnsi="Arial" w:cs="Arial"/>
        </w:rPr>
      </w:pPr>
      <w:r w:rsidRPr="00CC24B5">
        <w:rPr>
          <w:rFonts w:ascii="Calibri" w:eastAsia="Calibri" w:hAnsi="Calibri" w:cs="Calibri"/>
        </w:rPr>
        <w:t>Verificarea setarilor invertoarelor instalatiilor de productie ale prosumatorilor, inclusiv verificarea setarilor de limitare a puterii reactive si a functiei Q(U);</w:t>
      </w:r>
    </w:p>
    <w:p w:rsidR="00CC24B5" w:rsidRPr="00CC24B5" w:rsidRDefault="00CC24B5" w:rsidP="00CC24B5">
      <w:pPr>
        <w:numPr>
          <w:ilvl w:val="0"/>
          <w:numId w:val="10"/>
        </w:numPr>
        <w:spacing w:before="60" w:after="120" w:line="240" w:lineRule="auto"/>
        <w:ind w:left="1134"/>
        <w:jc w:val="both"/>
        <w:rPr>
          <w:rFonts w:ascii="Arial" w:eastAsia="Arial" w:hAnsi="Arial" w:cs="Arial"/>
        </w:rPr>
      </w:pPr>
      <w:r w:rsidRPr="00CC24B5">
        <w:rPr>
          <w:rFonts w:ascii="Calibri" w:eastAsia="Calibri" w:hAnsi="Calibri" w:cs="Calibri"/>
        </w:rPr>
        <w:t>Reconfigurarea topologiei retelei de joasa tensiune;</w:t>
      </w:r>
    </w:p>
    <w:p w:rsidR="00CC24B5" w:rsidRPr="00CC24B5" w:rsidRDefault="00CC24B5" w:rsidP="00CC24B5">
      <w:pPr>
        <w:numPr>
          <w:ilvl w:val="0"/>
          <w:numId w:val="10"/>
        </w:numPr>
        <w:spacing w:before="60" w:after="120" w:line="240" w:lineRule="auto"/>
        <w:ind w:left="1134"/>
        <w:jc w:val="both"/>
        <w:rPr>
          <w:rFonts w:ascii="Arial" w:eastAsia="Arial" w:hAnsi="Arial" w:cs="Arial"/>
        </w:rPr>
      </w:pPr>
      <w:r w:rsidRPr="00CC24B5">
        <w:rPr>
          <w:rFonts w:ascii="Calibri" w:eastAsia="Calibri" w:hAnsi="Calibri" w:cs="Calibri"/>
        </w:rPr>
        <w:t>Montarea de regulatoare de tensiune automate sau transformatoare cu reglaj sub sarcina pe posturile cu fluctuatii frecvente de tensiune datorate injectiei variabile a prosumatorilor;</w:t>
      </w:r>
    </w:p>
    <w:p w:rsidR="00CC24B5" w:rsidRPr="00CC24B5" w:rsidRDefault="00CC24B5" w:rsidP="00CC24B5">
      <w:pPr>
        <w:numPr>
          <w:ilvl w:val="0"/>
          <w:numId w:val="10"/>
        </w:numPr>
        <w:spacing w:before="60" w:after="120" w:line="240" w:lineRule="auto"/>
        <w:ind w:left="1134"/>
        <w:jc w:val="both"/>
        <w:rPr>
          <w:rFonts w:ascii="Arial" w:eastAsia="Arial" w:hAnsi="Arial" w:cs="Arial"/>
        </w:rPr>
      </w:pPr>
      <w:r w:rsidRPr="00CC24B5">
        <w:rPr>
          <w:rFonts w:ascii="Calibri" w:eastAsia="Calibri" w:hAnsi="Calibri" w:cs="Calibri"/>
        </w:rPr>
        <w:t>Analiza influenta prosumeri asupra retelei si notificare acestora daca este cazul.</w:t>
      </w:r>
    </w:p>
    <w:p w:rsidR="00CC24B5" w:rsidRPr="00CC24B5" w:rsidRDefault="00CC24B5" w:rsidP="00CC24B5">
      <w:pPr>
        <w:spacing w:before="60" w:after="60" w:line="240" w:lineRule="auto"/>
        <w:ind w:left="1080"/>
        <w:rPr>
          <w:rFonts w:ascii="Arial" w:eastAsia="Arial" w:hAnsi="Arial" w:cs="Arial"/>
        </w:rPr>
      </w:pPr>
    </w:p>
    <w:p w:rsidR="00CC24B5" w:rsidRPr="00CC24B5" w:rsidRDefault="00CC24B5" w:rsidP="00CC24B5">
      <w:pPr>
        <w:numPr>
          <w:ilvl w:val="0"/>
          <w:numId w:val="14"/>
        </w:numPr>
        <w:spacing w:before="60" w:after="120" w:line="240" w:lineRule="auto"/>
        <w:jc w:val="both"/>
        <w:rPr>
          <w:rFonts w:ascii="Arial" w:eastAsia="Arial" w:hAnsi="Arial" w:cs="Arial"/>
        </w:rPr>
      </w:pPr>
      <w:r w:rsidRPr="00CC24B5">
        <w:rPr>
          <w:rFonts w:ascii="Calibri" w:eastAsia="Calibri" w:hAnsi="Calibri" w:cs="Calibri"/>
          <w:color w:val="000000"/>
        </w:rPr>
        <w:t xml:space="preserve">194 PT fara prosumatori cu tensiuni </w:t>
      </w:r>
      <w:r w:rsidRPr="00CC24B5">
        <w:rPr>
          <w:rFonts w:ascii="Calibri" w:eastAsia="Calibri" w:hAnsi="Calibri" w:cs="Calibri"/>
        </w:rPr>
        <w:t>medii in intervalul [241.5V – 253]</w:t>
      </w:r>
    </w:p>
    <w:p w:rsidR="00CC24B5" w:rsidRPr="00CC24B5" w:rsidRDefault="00CC24B5" w:rsidP="00CC24B5">
      <w:pPr>
        <w:spacing w:after="120" w:line="240" w:lineRule="auto"/>
        <w:jc w:val="both"/>
        <w:rPr>
          <w:rFonts w:ascii="Arial" w:eastAsia="Arial" w:hAnsi="Arial" w:cs="Arial"/>
        </w:rPr>
      </w:pPr>
    </w:p>
    <w:p w:rsidR="00CC24B5" w:rsidRPr="00CC24B5" w:rsidRDefault="00CC24B5" w:rsidP="00CC24B5">
      <w:pPr>
        <w:spacing w:after="120" w:line="240" w:lineRule="auto"/>
        <w:ind w:left="993"/>
        <w:jc w:val="both"/>
        <w:rPr>
          <w:rFonts w:ascii="Arial" w:eastAsia="Arial" w:hAnsi="Arial" w:cs="Arial"/>
          <w:b/>
          <w:bCs/>
        </w:rPr>
      </w:pPr>
      <w:r w:rsidRPr="00CC24B5">
        <w:rPr>
          <w:rFonts w:ascii="Calibri" w:eastAsia="Calibri" w:hAnsi="Calibri" w:cs="Calibri"/>
          <w:b/>
          <w:bCs/>
        </w:rPr>
        <w:t>Masurile propuse sunt:</w:t>
      </w:r>
    </w:p>
    <w:p w:rsidR="00CC24B5" w:rsidRPr="00CC24B5" w:rsidRDefault="00CC24B5" w:rsidP="00CC24B5">
      <w:pPr>
        <w:numPr>
          <w:ilvl w:val="0"/>
          <w:numId w:val="10"/>
        </w:numPr>
        <w:spacing w:before="60" w:after="120" w:line="240" w:lineRule="auto"/>
        <w:ind w:left="993"/>
        <w:jc w:val="both"/>
        <w:rPr>
          <w:rFonts w:ascii="Arial" w:eastAsia="Arial" w:hAnsi="Arial" w:cs="Arial"/>
        </w:rPr>
      </w:pPr>
      <w:r w:rsidRPr="00CC24B5">
        <w:rPr>
          <w:rFonts w:ascii="Calibri" w:eastAsia="Calibri" w:hAnsi="Calibri" w:cs="Calibri"/>
        </w:rPr>
        <w:t>Coborarea plotului de reglaj al transformatorului pentru reducerea tensiunii la nivelul prevazut in Standard;</w:t>
      </w:r>
    </w:p>
    <w:p w:rsidR="00CC24B5" w:rsidRPr="00CC24B5" w:rsidRDefault="00CC24B5" w:rsidP="00CC24B5">
      <w:pPr>
        <w:numPr>
          <w:ilvl w:val="0"/>
          <w:numId w:val="10"/>
        </w:numPr>
        <w:spacing w:before="60" w:after="120" w:line="240" w:lineRule="auto"/>
        <w:ind w:left="993"/>
        <w:jc w:val="both"/>
        <w:rPr>
          <w:rFonts w:ascii="Arial" w:eastAsia="Arial" w:hAnsi="Arial" w:cs="Arial"/>
        </w:rPr>
      </w:pPr>
      <w:r w:rsidRPr="00CC24B5">
        <w:rPr>
          <w:rFonts w:ascii="Calibri" w:eastAsia="Calibri" w:hAnsi="Calibri" w:cs="Calibri"/>
        </w:rPr>
        <w:t>Echilibrarea sarcinilor pe fazele transformatorului prin redistribuirea bransamentelor monofazate, acolo unde dezechilibrul contribuie la cresterea tensiunii pe una sau mai multe faze;</w:t>
      </w:r>
    </w:p>
    <w:p w:rsidR="00CC24B5" w:rsidRPr="00CC24B5" w:rsidRDefault="00CC24B5" w:rsidP="00CC24B5">
      <w:pPr>
        <w:numPr>
          <w:ilvl w:val="0"/>
          <w:numId w:val="10"/>
        </w:numPr>
        <w:spacing w:before="60" w:after="120" w:line="240" w:lineRule="auto"/>
        <w:ind w:left="993"/>
        <w:jc w:val="both"/>
        <w:rPr>
          <w:rFonts w:ascii="Arial" w:eastAsia="Arial" w:hAnsi="Arial" w:cs="Arial"/>
        </w:rPr>
      </w:pPr>
      <w:r w:rsidRPr="00CC24B5">
        <w:rPr>
          <w:rFonts w:ascii="Calibri" w:eastAsia="Calibri" w:hAnsi="Calibri" w:cs="Calibri"/>
        </w:rPr>
        <w:t>Verificarea prizelor de pamant si a contactelor la bornele transformatorului si pe instalatiile de joasa tensiune aferente, in vederea eliminarii impedantelor parazite care pot influenta profilul de tensiune;</w:t>
      </w:r>
    </w:p>
    <w:p w:rsidR="00CC24B5" w:rsidRPr="00CC24B5" w:rsidRDefault="00CC24B5" w:rsidP="00CC24B5">
      <w:pPr>
        <w:numPr>
          <w:ilvl w:val="0"/>
          <w:numId w:val="10"/>
        </w:numPr>
        <w:spacing w:before="60" w:after="120" w:line="240" w:lineRule="auto"/>
        <w:ind w:left="993"/>
        <w:jc w:val="both"/>
        <w:rPr>
          <w:rFonts w:ascii="Arial" w:eastAsia="Arial" w:hAnsi="Arial" w:cs="Arial"/>
        </w:rPr>
      </w:pPr>
      <w:r w:rsidRPr="00CC24B5">
        <w:rPr>
          <w:rFonts w:ascii="Calibri" w:eastAsia="Calibri" w:hAnsi="Calibri" w:cs="Calibri"/>
        </w:rPr>
        <w:t>includerea in planul de investitii a lucrarilor de imbunatatire nivel de tensiune.</w:t>
      </w:r>
    </w:p>
    <w:p w:rsidR="00CC24B5" w:rsidRPr="00CC24B5" w:rsidRDefault="00CC24B5" w:rsidP="00CC24B5">
      <w:pPr>
        <w:spacing w:before="60" w:after="60" w:line="240" w:lineRule="auto"/>
        <w:ind w:left="1080"/>
        <w:rPr>
          <w:rFonts w:ascii="Arial" w:eastAsia="Arial" w:hAnsi="Arial" w:cs="Arial"/>
        </w:rPr>
      </w:pPr>
    </w:p>
    <w:p w:rsidR="00CC24B5" w:rsidRPr="00CC24B5" w:rsidRDefault="00CC24B5" w:rsidP="00CC24B5">
      <w:pPr>
        <w:spacing w:before="60" w:after="60" w:line="240" w:lineRule="auto"/>
        <w:ind w:left="720"/>
        <w:rPr>
          <w:rFonts w:ascii="Arial" w:eastAsia="Arial" w:hAnsi="Arial" w:cs="Arial"/>
        </w:rPr>
      </w:pPr>
    </w:p>
    <w:p w:rsidR="00CC24B5" w:rsidRPr="00CC24B5" w:rsidRDefault="00CC24B5" w:rsidP="00CC24B5">
      <w:pPr>
        <w:spacing w:before="60" w:after="120" w:line="240" w:lineRule="auto"/>
        <w:ind w:left="720"/>
        <w:jc w:val="both"/>
        <w:rPr>
          <w:rFonts w:ascii="Arial" w:eastAsia="Arial" w:hAnsi="Arial" w:cs="Arial"/>
        </w:rPr>
      </w:pPr>
      <w:r w:rsidRPr="00CC24B5">
        <w:rPr>
          <w:rFonts w:ascii="Calibri" w:eastAsia="Calibri" w:hAnsi="Calibri" w:cs="Calibri"/>
        </w:rPr>
        <w:t>Pentru cele 8 posturi care inregistreaza tensiuni medii peste 253 V cu prosumatori si CEF-uri racordate in MT: aceste posturi depasesc inclusiv limita superioara a plajei permise pentru prosumatori/CEF (253 V). Situatia este considerata prioritara si DEO propune masurile de remediere detaliate mai jos.</w:t>
      </w:r>
    </w:p>
    <w:p w:rsidR="00CC24B5" w:rsidRPr="00CC24B5" w:rsidRDefault="00CC24B5" w:rsidP="00CC24B5">
      <w:pPr>
        <w:spacing w:before="60" w:after="60" w:line="240" w:lineRule="auto"/>
        <w:ind w:left="720"/>
        <w:rPr>
          <w:rFonts w:ascii="Arial" w:eastAsia="Arial" w:hAnsi="Arial" w:cs="Arial"/>
        </w:rPr>
      </w:pPr>
    </w:p>
    <w:p w:rsidR="00CC24B5" w:rsidRPr="00CC24B5" w:rsidRDefault="00CC24B5" w:rsidP="00CC24B5">
      <w:pPr>
        <w:numPr>
          <w:ilvl w:val="0"/>
          <w:numId w:val="11"/>
        </w:numPr>
        <w:spacing w:before="60" w:after="120" w:line="240" w:lineRule="auto"/>
        <w:ind w:left="993"/>
        <w:jc w:val="both"/>
        <w:rPr>
          <w:rFonts w:ascii="Arial" w:eastAsia="Arial" w:hAnsi="Arial" w:cs="Arial"/>
        </w:rPr>
      </w:pPr>
      <w:r w:rsidRPr="00CC24B5">
        <w:rPr>
          <w:rFonts w:ascii="Calibri" w:eastAsia="Calibri" w:hAnsi="Calibri" w:cs="Calibri"/>
        </w:rPr>
        <w:t>Coborarea plotului de reglaj al transformatorului;</w:t>
      </w:r>
    </w:p>
    <w:p w:rsidR="00CC24B5" w:rsidRPr="00CC24B5" w:rsidRDefault="00CC24B5" w:rsidP="00CC24B5">
      <w:pPr>
        <w:numPr>
          <w:ilvl w:val="0"/>
          <w:numId w:val="11"/>
        </w:numPr>
        <w:spacing w:before="60" w:after="120" w:line="240" w:lineRule="auto"/>
        <w:ind w:left="993"/>
        <w:jc w:val="both"/>
        <w:rPr>
          <w:rFonts w:ascii="Arial" w:eastAsia="Arial" w:hAnsi="Arial" w:cs="Arial"/>
        </w:rPr>
      </w:pPr>
      <w:r w:rsidRPr="00CC24B5">
        <w:rPr>
          <w:rFonts w:ascii="Calibri" w:eastAsia="Calibri" w:hAnsi="Calibri" w:cs="Calibri"/>
        </w:rPr>
        <w:t>Notificarea formala a prosumatorilor ale caror instalatii contribuie la depasirea tensiunii maxime admise (253 V), cu solicitarea de conformare in termenele prevazute de reglementarile in vigoare;</w:t>
      </w:r>
    </w:p>
    <w:p w:rsidR="00CC24B5" w:rsidRPr="00CC24B5" w:rsidRDefault="00CC24B5" w:rsidP="00CC24B5">
      <w:pPr>
        <w:numPr>
          <w:ilvl w:val="0"/>
          <w:numId w:val="11"/>
        </w:numPr>
        <w:spacing w:before="60" w:after="120" w:line="240" w:lineRule="auto"/>
        <w:ind w:left="993"/>
        <w:jc w:val="both"/>
        <w:rPr>
          <w:rFonts w:ascii="Arial" w:eastAsia="Arial" w:hAnsi="Arial" w:cs="Arial"/>
        </w:rPr>
      </w:pPr>
      <w:r w:rsidRPr="00CC24B5">
        <w:rPr>
          <w:rFonts w:ascii="Calibri" w:eastAsia="Calibri" w:hAnsi="Calibri" w:cs="Calibri"/>
        </w:rPr>
        <w:t>Verificarea setarilor invertoarelor instalatiilor de productie ale prosumatorilor, inclusiv verificarea setarilor de limitare a puterii reactive si a functiei Q(U).</w:t>
      </w:r>
    </w:p>
    <w:p w:rsidR="00CC24B5" w:rsidRPr="00CC24B5" w:rsidRDefault="00CC24B5" w:rsidP="00CC24B5">
      <w:pPr>
        <w:spacing w:before="60" w:after="60" w:line="240" w:lineRule="auto"/>
        <w:ind w:left="720"/>
        <w:rPr>
          <w:rFonts w:ascii="Arial" w:eastAsia="Arial" w:hAnsi="Arial" w:cs="Arial"/>
        </w:rPr>
      </w:pPr>
    </w:p>
    <w:p w:rsidR="00CC24B5" w:rsidRPr="00CC24B5" w:rsidRDefault="00CC24B5" w:rsidP="00CC24B5">
      <w:pPr>
        <w:spacing w:before="60" w:after="120" w:line="240" w:lineRule="auto"/>
        <w:ind w:left="720"/>
        <w:jc w:val="both"/>
        <w:rPr>
          <w:rFonts w:ascii="Arial" w:eastAsia="Arial" w:hAnsi="Arial" w:cs="Arial"/>
          <w:b/>
          <w:bCs/>
        </w:rPr>
      </w:pPr>
      <w:r w:rsidRPr="00CC24B5">
        <w:rPr>
          <w:rFonts w:ascii="Calibri" w:eastAsia="Calibri" w:hAnsi="Calibri" w:cs="Calibri"/>
          <w:b/>
          <w:bCs/>
        </w:rPr>
        <w:t>Analiza tensiuni concentratoare</w:t>
      </w:r>
    </w:p>
    <w:p w:rsidR="00CC24B5" w:rsidRPr="00CC24B5" w:rsidRDefault="00CC24B5" w:rsidP="00CC24B5">
      <w:pPr>
        <w:spacing w:before="60" w:after="60" w:line="240" w:lineRule="auto"/>
        <w:ind w:left="720"/>
        <w:rPr>
          <w:rFonts w:ascii="Arial" w:eastAsia="Arial" w:hAnsi="Arial" w:cs="Arial"/>
          <w:b/>
          <w:bCs/>
        </w:rPr>
      </w:pPr>
    </w:p>
    <w:p w:rsidR="00CC24B5" w:rsidRPr="00CC24B5" w:rsidRDefault="00CC24B5" w:rsidP="00CC24B5">
      <w:pPr>
        <w:numPr>
          <w:ilvl w:val="0"/>
          <w:numId w:val="15"/>
        </w:numPr>
        <w:spacing w:before="60" w:after="120" w:line="240" w:lineRule="auto"/>
        <w:jc w:val="both"/>
        <w:rPr>
          <w:rFonts w:ascii="Arial" w:eastAsia="Arial" w:hAnsi="Arial" w:cs="Arial"/>
        </w:rPr>
      </w:pPr>
      <w:r w:rsidRPr="00CC24B5">
        <w:rPr>
          <w:rFonts w:ascii="Calibri" w:eastAsia="Calibri" w:hAnsi="Calibri" w:cs="Calibri"/>
        </w:rPr>
        <w:t>834 PT se incadreaza in intervalul 207-241.5V pentru care nu se propun masuri.</w:t>
      </w:r>
    </w:p>
    <w:p w:rsidR="00CC24B5" w:rsidRPr="00CC24B5" w:rsidRDefault="00CC24B5" w:rsidP="00CC24B5">
      <w:pPr>
        <w:numPr>
          <w:ilvl w:val="0"/>
          <w:numId w:val="15"/>
        </w:numPr>
        <w:spacing w:before="60" w:after="120" w:line="240" w:lineRule="auto"/>
        <w:jc w:val="both"/>
        <w:rPr>
          <w:rFonts w:ascii="Arial" w:eastAsia="Arial" w:hAnsi="Arial" w:cs="Arial"/>
        </w:rPr>
      </w:pPr>
      <w:r w:rsidRPr="00CC24B5">
        <w:rPr>
          <w:rFonts w:ascii="Calibri" w:eastAsia="Calibri" w:hAnsi="Calibri" w:cs="Calibri"/>
        </w:rPr>
        <w:t>1237 cuprinse in intervalul 241.5 – 253 V pentru care se propun:</w:t>
      </w:r>
    </w:p>
    <w:p w:rsidR="00CC24B5" w:rsidRPr="00CC24B5" w:rsidRDefault="00CC24B5" w:rsidP="00CC24B5">
      <w:pPr>
        <w:numPr>
          <w:ilvl w:val="0"/>
          <w:numId w:val="9"/>
        </w:numPr>
        <w:spacing w:after="0" w:line="240" w:lineRule="auto"/>
        <w:jc w:val="both"/>
        <w:rPr>
          <w:rFonts w:ascii="Arial" w:eastAsia="Arial" w:hAnsi="Arial" w:cs="Arial"/>
        </w:rPr>
      </w:pPr>
      <w:r w:rsidRPr="00CC24B5">
        <w:rPr>
          <w:rFonts w:ascii="Calibri" w:eastAsia="Calibri" w:hAnsi="Calibri" w:cs="Calibri"/>
        </w:rPr>
        <w:t>Coborarea plotului de reglaj al transformatorului pentru reducerea tensiunii la nivelul prevazut in Standard;</w:t>
      </w:r>
    </w:p>
    <w:p w:rsidR="00CC24B5" w:rsidRPr="00CC24B5" w:rsidRDefault="00CC24B5" w:rsidP="00CC24B5">
      <w:pPr>
        <w:numPr>
          <w:ilvl w:val="0"/>
          <w:numId w:val="9"/>
        </w:numPr>
        <w:spacing w:after="0" w:line="240" w:lineRule="auto"/>
        <w:jc w:val="both"/>
        <w:rPr>
          <w:rFonts w:ascii="Arial" w:eastAsia="Arial" w:hAnsi="Arial" w:cs="Arial"/>
        </w:rPr>
      </w:pPr>
      <w:r w:rsidRPr="00CC24B5">
        <w:rPr>
          <w:rFonts w:ascii="Calibri" w:eastAsia="Calibri" w:hAnsi="Calibri" w:cs="Calibri"/>
        </w:rPr>
        <w:t>Echilibrarea sarcinilor pe fazele transformatorului prin redistribuirea bransamentelor monofazate, acolo unde dezechilibrul contribuie la cresterea tensiunii pe una sau mai multe faze;</w:t>
      </w:r>
    </w:p>
    <w:p w:rsidR="00CC24B5" w:rsidRPr="00CC24B5" w:rsidRDefault="00CC24B5" w:rsidP="00CC24B5">
      <w:pPr>
        <w:numPr>
          <w:ilvl w:val="0"/>
          <w:numId w:val="9"/>
        </w:numPr>
        <w:spacing w:after="0" w:line="240" w:lineRule="auto"/>
        <w:jc w:val="both"/>
        <w:rPr>
          <w:rFonts w:ascii="Arial" w:eastAsia="Arial" w:hAnsi="Arial" w:cs="Arial"/>
        </w:rPr>
      </w:pPr>
      <w:r w:rsidRPr="00CC24B5">
        <w:rPr>
          <w:rFonts w:ascii="Calibri" w:eastAsia="Calibri" w:hAnsi="Calibri" w:cs="Calibri"/>
        </w:rPr>
        <w:t>Verificarea prizelor de pamant si a contactelor la bornele transformatorului si pe instalatiile de joasa tensiune aferente, in vederea eliminarii impedantelor parazite care pot influenta profilul de tensiune;</w:t>
      </w:r>
    </w:p>
    <w:p w:rsidR="00CC24B5" w:rsidRPr="00CC24B5" w:rsidRDefault="00CC24B5" w:rsidP="00CC24B5">
      <w:pPr>
        <w:numPr>
          <w:ilvl w:val="0"/>
          <w:numId w:val="9"/>
        </w:numPr>
        <w:spacing w:after="0" w:line="240" w:lineRule="auto"/>
        <w:jc w:val="both"/>
        <w:rPr>
          <w:rFonts w:ascii="Arial" w:eastAsia="Arial" w:hAnsi="Arial" w:cs="Arial"/>
        </w:rPr>
      </w:pPr>
      <w:r w:rsidRPr="00CC24B5">
        <w:rPr>
          <w:rFonts w:ascii="Calibri" w:eastAsia="Calibri" w:hAnsi="Calibri" w:cs="Calibri"/>
        </w:rPr>
        <w:t>Includrea in planul de investitii a lucrarilor de imbunatatire nivel de tensiune</w:t>
      </w:r>
    </w:p>
    <w:p w:rsidR="00CC24B5" w:rsidRPr="00CC24B5" w:rsidRDefault="00CC24B5" w:rsidP="00CC24B5">
      <w:pPr>
        <w:spacing w:after="0" w:line="240" w:lineRule="auto"/>
        <w:ind w:left="1080"/>
        <w:rPr>
          <w:rFonts w:ascii="Arial" w:eastAsia="Arial" w:hAnsi="Arial" w:cs="Arial"/>
        </w:rPr>
      </w:pPr>
    </w:p>
    <w:p w:rsidR="00CC24B5" w:rsidRPr="00CC24B5" w:rsidRDefault="00CC24B5" w:rsidP="00CC24B5">
      <w:pPr>
        <w:numPr>
          <w:ilvl w:val="0"/>
          <w:numId w:val="15"/>
        </w:numPr>
        <w:spacing w:after="0" w:line="240" w:lineRule="auto"/>
        <w:jc w:val="both"/>
        <w:rPr>
          <w:rFonts w:ascii="Arial" w:eastAsia="Arial" w:hAnsi="Arial" w:cs="Arial"/>
        </w:rPr>
      </w:pPr>
      <w:r w:rsidRPr="00CC24B5">
        <w:rPr>
          <w:rFonts w:ascii="Calibri" w:eastAsia="Calibri" w:hAnsi="Calibri" w:cs="Calibri"/>
        </w:rPr>
        <w:t>19 PT cu tensiuni &gt;253V pentru care se propun urmatoarele masuri:</w:t>
      </w:r>
    </w:p>
    <w:p w:rsidR="00CC24B5" w:rsidRPr="00CC24B5" w:rsidRDefault="00CC24B5" w:rsidP="00CC24B5">
      <w:pPr>
        <w:numPr>
          <w:ilvl w:val="0"/>
          <w:numId w:val="9"/>
        </w:numPr>
        <w:tabs>
          <w:tab w:val="left" w:pos="709"/>
        </w:tabs>
        <w:spacing w:after="0" w:line="240" w:lineRule="auto"/>
        <w:ind w:left="1134" w:hanging="425"/>
        <w:jc w:val="both"/>
        <w:rPr>
          <w:rFonts w:ascii="Arial" w:eastAsia="Arial" w:hAnsi="Arial" w:cs="Arial"/>
        </w:rPr>
      </w:pPr>
      <w:r w:rsidRPr="00CC24B5">
        <w:rPr>
          <w:rFonts w:ascii="Calibri" w:eastAsia="Calibri" w:hAnsi="Calibri" w:cs="Calibri"/>
        </w:rPr>
        <w:t>Coborarea plotului de reglaj al transformatorului;</w:t>
      </w:r>
    </w:p>
    <w:p w:rsidR="00CC24B5" w:rsidRPr="00CC24B5" w:rsidRDefault="00CC24B5" w:rsidP="00CC24B5">
      <w:pPr>
        <w:numPr>
          <w:ilvl w:val="0"/>
          <w:numId w:val="9"/>
        </w:numPr>
        <w:tabs>
          <w:tab w:val="left" w:pos="709"/>
        </w:tabs>
        <w:spacing w:after="0" w:line="240" w:lineRule="auto"/>
        <w:ind w:left="1134" w:hanging="425"/>
        <w:jc w:val="both"/>
        <w:rPr>
          <w:rFonts w:ascii="Arial" w:eastAsia="Arial" w:hAnsi="Arial" w:cs="Arial"/>
        </w:rPr>
      </w:pPr>
      <w:r w:rsidRPr="00CC24B5">
        <w:rPr>
          <w:rFonts w:ascii="Calibri" w:eastAsia="Calibri" w:hAnsi="Calibri" w:cs="Calibri"/>
        </w:rPr>
        <w:t>Notificarea formala a prosumatorilor ale caror instalatii contribuie la depasirea tensiunii maxime admise (253 V).</w:t>
      </w:r>
    </w:p>
    <w:p w:rsidR="00CC24B5" w:rsidRPr="00CC24B5" w:rsidRDefault="00CC24B5" w:rsidP="00CC24B5">
      <w:pPr>
        <w:numPr>
          <w:ilvl w:val="0"/>
          <w:numId w:val="9"/>
        </w:numPr>
        <w:tabs>
          <w:tab w:val="left" w:pos="709"/>
        </w:tabs>
        <w:spacing w:after="0" w:line="240" w:lineRule="auto"/>
        <w:ind w:left="1134" w:hanging="425"/>
        <w:jc w:val="both"/>
        <w:rPr>
          <w:rFonts w:ascii="Arial" w:eastAsia="Arial" w:hAnsi="Arial" w:cs="Arial"/>
        </w:rPr>
      </w:pPr>
      <w:r w:rsidRPr="00CC24B5">
        <w:rPr>
          <w:rFonts w:ascii="Calibri" w:eastAsia="Calibri" w:hAnsi="Calibri" w:cs="Calibri"/>
        </w:rPr>
        <w:t>Verificarea setarilor invertoarelor instalatiilor de productie ale prosumatorilor, inclusiv verificarea setarilor de limitare a puterii reactive si a functiei Q(U);</w:t>
      </w:r>
    </w:p>
    <w:p w:rsidR="00CC24B5" w:rsidRPr="00CC24B5" w:rsidRDefault="00CC24B5" w:rsidP="00CC24B5">
      <w:pPr>
        <w:spacing w:before="60" w:after="60" w:line="240" w:lineRule="auto"/>
        <w:rPr>
          <w:rFonts w:ascii="Arial" w:eastAsia="Arial" w:hAnsi="Arial" w:cs="Arial"/>
          <w:b/>
          <w:bCs/>
        </w:rPr>
      </w:pPr>
    </w:p>
    <w:p w:rsidR="00CC24B5" w:rsidRPr="00CC24B5" w:rsidRDefault="00CC24B5" w:rsidP="00CC24B5">
      <w:pPr>
        <w:spacing w:before="60" w:after="120" w:line="240" w:lineRule="auto"/>
        <w:ind w:left="720"/>
        <w:jc w:val="both"/>
        <w:rPr>
          <w:rFonts w:ascii="Arial" w:eastAsia="Arial" w:hAnsi="Arial" w:cs="Arial"/>
          <w:b/>
          <w:bCs/>
        </w:rPr>
      </w:pPr>
      <w:r w:rsidRPr="00CC24B5">
        <w:rPr>
          <w:rFonts w:ascii="Calibri" w:eastAsia="Calibri" w:hAnsi="Calibri" w:cs="Calibri"/>
          <w:b/>
          <w:bCs/>
        </w:rPr>
        <w:t>2.Intreruperi</w:t>
      </w:r>
    </w:p>
    <w:p w:rsidR="00CC24B5" w:rsidRPr="00CC24B5" w:rsidRDefault="00CC24B5" w:rsidP="00CC24B5">
      <w:pPr>
        <w:spacing w:after="0" w:line="240" w:lineRule="auto"/>
        <w:ind w:left="1560" w:hanging="556"/>
        <w:jc w:val="both"/>
        <w:rPr>
          <w:rFonts w:ascii="Arial" w:eastAsia="Arial" w:hAnsi="Arial" w:cs="Arial"/>
          <w:b/>
          <w:bCs/>
        </w:rPr>
      </w:pPr>
      <w:r w:rsidRPr="00CC24B5">
        <w:rPr>
          <w:rFonts w:ascii="Calibri" w:eastAsia="Calibri" w:hAnsi="Calibri" w:cs="Calibri"/>
        </w:rPr>
        <w:t>a)</w:t>
      </w:r>
      <w:r w:rsidRPr="00CC24B5">
        <w:rPr>
          <w:rFonts w:ascii="Calibri" w:eastAsia="Calibri" w:hAnsi="Calibri" w:cs="Calibri"/>
          <w:b/>
          <w:bCs/>
        </w:rPr>
        <w:t xml:space="preserve"> </w:t>
      </w:r>
      <w:r w:rsidRPr="00CC24B5">
        <w:rPr>
          <w:rFonts w:ascii="Calibri" w:eastAsia="Calibri" w:hAnsi="Calibri" w:cs="Calibri"/>
        </w:rPr>
        <w:t>Intreruperi scurte</w:t>
      </w:r>
    </w:p>
    <w:p w:rsidR="00CC24B5" w:rsidRPr="00CC24B5" w:rsidRDefault="00CC24B5" w:rsidP="00CC24B5">
      <w:pPr>
        <w:spacing w:after="0" w:line="240" w:lineRule="auto"/>
        <w:ind w:left="720"/>
        <w:jc w:val="both"/>
        <w:rPr>
          <w:rFonts w:ascii="Arial" w:eastAsia="Arial" w:hAnsi="Arial" w:cs="Arial"/>
          <w:color w:val="000000"/>
        </w:rPr>
      </w:pPr>
      <w:r w:rsidRPr="00CC24B5">
        <w:rPr>
          <w:rFonts w:ascii="Calibri" w:eastAsia="Calibri" w:hAnsi="Calibri" w:cs="Calibri"/>
          <w:color w:val="000000"/>
        </w:rPr>
        <w:t>Cele</w:t>
      </w:r>
      <w:r w:rsidRPr="00CC24B5">
        <w:rPr>
          <w:rFonts w:ascii="Calibri" w:eastAsia="Calibri" w:hAnsi="Calibri" w:cs="Calibri"/>
        </w:rPr>
        <w:t xml:space="preserve"> 81 posturi </w:t>
      </w:r>
      <w:r w:rsidRPr="00CC24B5">
        <w:rPr>
          <w:rFonts w:ascii="Calibri" w:eastAsia="Calibri" w:hAnsi="Calibri" w:cs="Calibri"/>
          <w:color w:val="000000"/>
        </w:rPr>
        <w:t>cu peste 75 de intreruperi scurte necesita actiuni prioritare de remediere (verificare echipamente de protectie, reglaje relee etc.)</w:t>
      </w:r>
    </w:p>
    <w:p w:rsidR="00CC24B5" w:rsidRPr="00CC24B5" w:rsidRDefault="00CC24B5" w:rsidP="00CC24B5">
      <w:pPr>
        <w:numPr>
          <w:ilvl w:val="0"/>
          <w:numId w:val="16"/>
        </w:numPr>
        <w:spacing w:after="0" w:line="240" w:lineRule="auto"/>
        <w:jc w:val="both"/>
        <w:rPr>
          <w:rFonts w:ascii="Arial" w:eastAsia="Arial" w:hAnsi="Arial" w:cs="Arial"/>
        </w:rPr>
      </w:pPr>
      <w:r w:rsidRPr="00CC24B5">
        <w:rPr>
          <w:rFonts w:ascii="Calibri" w:eastAsia="Calibri" w:hAnsi="Calibri" w:cs="Calibri"/>
        </w:rPr>
        <w:t>Intreruperi tranzitorii</w:t>
      </w:r>
    </w:p>
    <w:p w:rsidR="00CC24B5" w:rsidRPr="00CC24B5" w:rsidRDefault="00CC24B5" w:rsidP="00CC24B5">
      <w:pPr>
        <w:spacing w:after="0" w:line="240" w:lineRule="auto"/>
        <w:ind w:left="720"/>
        <w:jc w:val="both"/>
        <w:rPr>
          <w:rFonts w:ascii="Arial" w:eastAsia="Arial" w:hAnsi="Arial" w:cs="Arial"/>
        </w:rPr>
      </w:pPr>
      <w:r w:rsidRPr="00CC24B5">
        <w:rPr>
          <w:rFonts w:ascii="Calibri" w:eastAsia="Calibri" w:hAnsi="Calibri" w:cs="Calibri"/>
          <w:color w:val="000000"/>
        </w:rPr>
        <w:t xml:space="preserve">Cele </w:t>
      </w:r>
      <w:r w:rsidRPr="00CC24B5">
        <w:rPr>
          <w:rFonts w:ascii="Calibri" w:eastAsia="Calibri" w:hAnsi="Calibri" w:cs="Calibri"/>
        </w:rPr>
        <w:t xml:space="preserve">10 posturi </w:t>
      </w:r>
      <w:r w:rsidRPr="00CC24B5">
        <w:rPr>
          <w:rFonts w:ascii="Calibri" w:eastAsia="Calibri" w:hAnsi="Calibri" w:cs="Calibri"/>
          <w:color w:val="000000"/>
        </w:rPr>
        <w:t>cu 225–321 de intreruperi tranzitorii reprezinta cazuri izolate care vor fi analizare individual (posibil cauzate de manevre frecvente sau surse de perturbatii locale).</w:t>
      </w:r>
    </w:p>
    <w:p w:rsidR="00CC24B5" w:rsidRPr="00CC24B5" w:rsidRDefault="00CC24B5" w:rsidP="00CC24B5">
      <w:pPr>
        <w:numPr>
          <w:ilvl w:val="0"/>
          <w:numId w:val="16"/>
        </w:numPr>
        <w:spacing w:after="0" w:line="240" w:lineRule="auto"/>
        <w:jc w:val="both"/>
        <w:rPr>
          <w:rFonts w:ascii="Arial" w:eastAsia="Arial" w:hAnsi="Arial" w:cs="Arial"/>
        </w:rPr>
      </w:pPr>
      <w:r w:rsidRPr="00CC24B5">
        <w:rPr>
          <w:rFonts w:ascii="Calibri" w:eastAsia="Calibri" w:hAnsi="Calibri" w:cs="Calibri"/>
        </w:rPr>
        <w:t xml:space="preserve">Intreruperi lungi </w:t>
      </w:r>
    </w:p>
    <w:p w:rsidR="00CC24B5" w:rsidRPr="00CC24B5" w:rsidRDefault="00CC24B5" w:rsidP="00CC24B5">
      <w:pPr>
        <w:spacing w:after="0" w:line="240" w:lineRule="auto"/>
        <w:ind w:left="720"/>
        <w:jc w:val="both"/>
        <w:rPr>
          <w:rFonts w:ascii="Arial" w:eastAsia="Arial" w:hAnsi="Arial" w:cs="Arial"/>
          <w:color w:val="000000"/>
        </w:rPr>
      </w:pPr>
      <w:r w:rsidRPr="00CC24B5">
        <w:rPr>
          <w:rFonts w:ascii="Calibri" w:eastAsia="Calibri" w:hAnsi="Calibri" w:cs="Calibri"/>
          <w:color w:val="000000"/>
        </w:rPr>
        <w:t>Cele 1645 posturi cu 9–71 intreruperi necesita investigatii.</w:t>
      </w:r>
    </w:p>
    <w:p w:rsidR="00CC24B5" w:rsidRPr="00CC24B5" w:rsidRDefault="00CC24B5" w:rsidP="00CC24B5">
      <w:pPr>
        <w:spacing w:before="60" w:after="120" w:line="240" w:lineRule="auto"/>
        <w:ind w:left="1560" w:hanging="851"/>
        <w:jc w:val="both"/>
        <w:rPr>
          <w:rFonts w:ascii="Arial" w:eastAsia="Arial" w:hAnsi="Arial" w:cs="Arial"/>
          <w:b/>
          <w:bCs/>
        </w:rPr>
      </w:pPr>
      <w:r w:rsidRPr="00CC24B5">
        <w:rPr>
          <w:rFonts w:ascii="Calibri" w:eastAsia="Calibri" w:hAnsi="Calibri" w:cs="Calibri"/>
          <w:b/>
          <w:bCs/>
        </w:rPr>
        <w:lastRenderedPageBreak/>
        <w:t>3. Frecventa</w:t>
      </w:r>
    </w:p>
    <w:p w:rsidR="00CC24B5" w:rsidRPr="00CC24B5" w:rsidRDefault="00CC24B5" w:rsidP="00CC24B5">
      <w:pPr>
        <w:spacing w:before="60" w:after="120" w:line="240" w:lineRule="auto"/>
        <w:ind w:left="720"/>
        <w:jc w:val="both"/>
        <w:rPr>
          <w:rFonts w:ascii="Arial" w:eastAsia="Arial" w:hAnsi="Arial" w:cs="Arial"/>
        </w:rPr>
      </w:pPr>
      <w:r w:rsidRPr="00CC24B5">
        <w:rPr>
          <w:rFonts w:ascii="Calibri" w:eastAsia="Calibri" w:hAnsi="Calibri" w:cs="Calibri"/>
        </w:rPr>
        <w:t>Toate posturile (100%) prezinta frecventa medie in intervalul normal [49,5–50,5 Hz]</w:t>
      </w:r>
    </w:p>
    <w:p w:rsidR="00CC24B5" w:rsidRPr="00CC24B5" w:rsidRDefault="00CC24B5" w:rsidP="00CC24B5">
      <w:pPr>
        <w:spacing w:before="60" w:after="120" w:line="240" w:lineRule="auto"/>
        <w:ind w:left="720"/>
        <w:jc w:val="both"/>
        <w:rPr>
          <w:rFonts w:ascii="Arial" w:eastAsia="Arial" w:hAnsi="Arial" w:cs="Arial"/>
          <w:b/>
          <w:bCs/>
        </w:rPr>
      </w:pPr>
      <w:r w:rsidRPr="00CC24B5">
        <w:rPr>
          <w:rFonts w:ascii="Calibri" w:eastAsia="Calibri" w:hAnsi="Calibri" w:cs="Calibri"/>
          <w:b/>
          <w:bCs/>
        </w:rPr>
        <w:t>4.Flicker</w:t>
      </w:r>
    </w:p>
    <w:p w:rsidR="00CC24B5" w:rsidRPr="00CC24B5" w:rsidRDefault="00CC24B5" w:rsidP="00CC24B5">
      <w:pPr>
        <w:spacing w:before="60" w:after="120" w:line="240" w:lineRule="auto"/>
        <w:ind w:left="720"/>
        <w:jc w:val="both"/>
        <w:rPr>
          <w:rFonts w:ascii="Times New Roman" w:eastAsia="Times New Roman" w:hAnsi="Times New Roman" w:cs="Times New Roman"/>
          <w:sz w:val="24"/>
          <w:szCs w:val="24"/>
        </w:rPr>
      </w:pPr>
      <w:r w:rsidRPr="00CC24B5">
        <w:rPr>
          <w:rFonts w:ascii="Calibri" w:eastAsia="Calibri" w:hAnsi="Calibri" w:cs="Calibri"/>
          <w:sz w:val="24"/>
          <w:szCs w:val="24"/>
        </w:rPr>
        <w:t>Cele 67 de posturi cu depasiri frecvente (peste 14 saptamani) necesita investigatii prioritare privind identificarea surselor de fluctuatii rapide de tensiune (cuptoare cu arc, motoare cu porniri frecvente, suduri industriale etc.) si implementarea unor masuri de atenuare corespunzatoare.</w:t>
      </w:r>
    </w:p>
    <w:p w:rsidR="00CC24B5" w:rsidRPr="00CC24B5" w:rsidRDefault="00CC24B5" w:rsidP="00CC24B5">
      <w:pPr>
        <w:spacing w:before="60" w:after="120" w:line="240" w:lineRule="auto"/>
        <w:ind w:left="720"/>
        <w:jc w:val="both"/>
        <w:rPr>
          <w:rFonts w:ascii="Arial" w:eastAsia="Arial" w:hAnsi="Arial" w:cs="Arial"/>
          <w:b/>
          <w:bCs/>
        </w:rPr>
      </w:pPr>
      <w:r w:rsidRPr="00CC24B5">
        <w:rPr>
          <w:rFonts w:ascii="Calibri" w:eastAsia="Calibri" w:hAnsi="Calibri" w:cs="Calibri"/>
          <w:b/>
          <w:bCs/>
        </w:rPr>
        <w:t>5. Armonici.</w:t>
      </w:r>
    </w:p>
    <w:p w:rsidR="00CC24B5" w:rsidRPr="00CC24B5" w:rsidRDefault="00CC24B5" w:rsidP="00CC24B5">
      <w:pPr>
        <w:spacing w:before="60" w:after="120" w:line="240" w:lineRule="auto"/>
        <w:ind w:left="720"/>
        <w:jc w:val="both"/>
        <w:rPr>
          <w:rFonts w:ascii="Calibri" w:eastAsia="Calibri" w:hAnsi="Calibri" w:cs="Calibri"/>
          <w:color w:val="000000"/>
        </w:rPr>
      </w:pPr>
      <w:r w:rsidRPr="00CC24B5">
        <w:rPr>
          <w:rFonts w:ascii="Calibri" w:eastAsia="Calibri" w:hAnsi="Calibri" w:cs="Calibri"/>
          <w:color w:val="000000"/>
        </w:rPr>
        <w:t>Rata maxima de depasire este de 2,85% (H6). Aceasta sugereaza existenta unor surse de distorsiune armonica de rang 6 in unele zone ale retelei (posibil convertoare de frecventa, redresoare hexafazate, sau alte echipamente cu comutatie).</w:t>
      </w:r>
    </w:p>
    <w:p w:rsidR="00CC24B5" w:rsidRPr="00CC24B5" w:rsidRDefault="00CC24B5" w:rsidP="00CC24B5">
      <w:pPr>
        <w:spacing w:before="60" w:after="120" w:line="240" w:lineRule="auto"/>
        <w:ind w:left="720"/>
        <w:jc w:val="both"/>
        <w:rPr>
          <w:rFonts w:ascii="Arial" w:eastAsia="Arial" w:hAnsi="Arial" w:cs="Arial"/>
          <w:color w:val="000000"/>
        </w:rPr>
      </w:pPr>
    </w:p>
    <w:p w:rsidR="00CC24B5" w:rsidRPr="00CC24B5" w:rsidRDefault="00CC24B5" w:rsidP="00CC24B5">
      <w:pPr>
        <w:spacing w:before="60" w:after="120" w:line="240" w:lineRule="auto"/>
        <w:ind w:left="709"/>
        <w:jc w:val="both"/>
        <w:rPr>
          <w:rFonts w:ascii="Arial" w:eastAsia="Arial" w:hAnsi="Arial" w:cs="Arial"/>
          <w:b/>
          <w:bCs/>
        </w:rPr>
      </w:pPr>
      <w:r w:rsidRPr="00CC24B5">
        <w:rPr>
          <w:rFonts w:ascii="Calibri" w:eastAsia="Calibri" w:hAnsi="Calibri" w:cs="Calibri"/>
          <w:b/>
          <w:bCs/>
        </w:rPr>
        <w:t>Se vor aplica urmatoarele masuri:</w:t>
      </w:r>
    </w:p>
    <w:p w:rsidR="00CC24B5" w:rsidRPr="00CC24B5" w:rsidRDefault="00CC24B5" w:rsidP="00CC24B5">
      <w:pPr>
        <w:numPr>
          <w:ilvl w:val="0"/>
          <w:numId w:val="7"/>
        </w:numPr>
        <w:spacing w:after="0" w:line="240" w:lineRule="auto"/>
        <w:jc w:val="both"/>
        <w:rPr>
          <w:rFonts w:ascii="Arial" w:eastAsia="Arial" w:hAnsi="Arial" w:cs="Arial"/>
        </w:rPr>
      </w:pPr>
      <w:r w:rsidRPr="00CC24B5">
        <w:rPr>
          <w:rFonts w:ascii="Calibri" w:eastAsia="Calibri" w:hAnsi="Calibri" w:cs="Calibri"/>
        </w:rPr>
        <w:t>Investigarea celor 15 posturi cu depasiri THD si a celor 113 posturi cu depasiri H6, in vederea identificarii si eliminarii surselor de distorsiune armonica</w:t>
      </w:r>
    </w:p>
    <w:p w:rsidR="00CC24B5" w:rsidRPr="00CC24B5" w:rsidRDefault="00CC24B5" w:rsidP="00CC24B5">
      <w:pPr>
        <w:numPr>
          <w:ilvl w:val="0"/>
          <w:numId w:val="7"/>
        </w:numPr>
        <w:spacing w:after="0" w:line="240" w:lineRule="auto"/>
        <w:jc w:val="both"/>
        <w:rPr>
          <w:rFonts w:ascii="Arial" w:eastAsia="Arial" w:hAnsi="Arial" w:cs="Arial"/>
        </w:rPr>
      </w:pPr>
      <w:r w:rsidRPr="00CC24B5">
        <w:rPr>
          <w:rFonts w:ascii="Calibri" w:eastAsia="Calibri" w:hAnsi="Calibri" w:cs="Calibri"/>
        </w:rPr>
        <w:t>Echilibrarea sarcinilor monofazate pentru cele 73 de posturi cu depasiri ale factorului de nesimetrie</w:t>
      </w:r>
    </w:p>
    <w:p w:rsidR="00CC24B5" w:rsidRPr="00CC24B5" w:rsidRDefault="00CC24B5" w:rsidP="00CC24B5">
      <w:pPr>
        <w:numPr>
          <w:ilvl w:val="0"/>
          <w:numId w:val="7"/>
        </w:numPr>
        <w:spacing w:after="0" w:line="240" w:lineRule="auto"/>
        <w:jc w:val="both"/>
        <w:rPr>
          <w:rFonts w:ascii="Arial" w:eastAsia="Arial" w:hAnsi="Arial" w:cs="Arial"/>
        </w:rPr>
      </w:pPr>
      <w:r w:rsidRPr="00CC24B5">
        <w:rPr>
          <w:rFonts w:ascii="Calibri" w:eastAsia="Calibri" w:hAnsi="Calibri" w:cs="Calibri"/>
        </w:rPr>
        <w:t xml:space="preserve">Monitorizare continua si permanent activata a tuturor parametrilor de calitate </w:t>
      </w:r>
      <w:proofErr w:type="gramStart"/>
      <w:r w:rsidRPr="00CC24B5">
        <w:rPr>
          <w:rFonts w:ascii="Calibri" w:eastAsia="Calibri" w:hAnsi="Calibri" w:cs="Calibri"/>
        </w:rPr>
        <w:t>a</w:t>
      </w:r>
      <w:proofErr w:type="gramEnd"/>
      <w:r w:rsidRPr="00CC24B5">
        <w:rPr>
          <w:rFonts w:ascii="Calibri" w:eastAsia="Calibri" w:hAnsi="Calibri" w:cs="Calibri"/>
        </w:rPr>
        <w:t xml:space="preserve"> energiei electrice, cu raportare periodica</w:t>
      </w:r>
    </w:p>
    <w:p w:rsidR="00CC24B5" w:rsidRPr="00CC24B5" w:rsidRDefault="00CC24B5" w:rsidP="00CC24B5">
      <w:pPr>
        <w:numPr>
          <w:ilvl w:val="0"/>
          <w:numId w:val="7"/>
        </w:numPr>
        <w:spacing w:after="0" w:line="240" w:lineRule="auto"/>
        <w:jc w:val="both"/>
        <w:rPr>
          <w:rFonts w:ascii="Arial" w:eastAsia="Arial" w:hAnsi="Arial" w:cs="Arial"/>
        </w:rPr>
      </w:pPr>
      <w:r w:rsidRPr="00CC24B5">
        <w:rPr>
          <w:rFonts w:ascii="Calibri" w:eastAsia="Calibri" w:hAnsi="Calibri" w:cs="Calibri"/>
        </w:rPr>
        <w:t>Verificarea si reglarea echipamentelor de protectie pentru posturile cu numar ridicat de intreruperi scurte</w:t>
      </w:r>
    </w:p>
    <w:p w:rsidR="00CC24B5" w:rsidRPr="00CC24B5" w:rsidRDefault="00CC24B5" w:rsidP="00CC24B5">
      <w:pPr>
        <w:spacing w:before="60" w:after="60" w:line="240" w:lineRule="auto"/>
        <w:ind w:left="360"/>
        <w:rPr>
          <w:rFonts w:ascii="Arial" w:eastAsia="Arial" w:hAnsi="Arial" w:cs="Arial"/>
        </w:rPr>
      </w:pPr>
    </w:p>
    <w:p w:rsidR="00CC24B5" w:rsidRPr="00CC24B5" w:rsidRDefault="00CC24B5" w:rsidP="00CC24B5">
      <w:pPr>
        <w:spacing w:before="60" w:after="60" w:line="240" w:lineRule="auto"/>
        <w:ind w:left="360"/>
        <w:rPr>
          <w:rFonts w:ascii="Arial" w:eastAsia="Arial" w:hAnsi="Arial" w:cs="Arial"/>
        </w:rPr>
      </w:pPr>
    </w:p>
    <w:p w:rsidR="00CC24B5" w:rsidRPr="00CC24B5" w:rsidRDefault="00CC24B5" w:rsidP="00CC24B5">
      <w:pPr>
        <w:spacing w:before="60" w:after="120" w:line="240" w:lineRule="auto"/>
        <w:ind w:left="720"/>
        <w:jc w:val="both"/>
        <w:rPr>
          <w:rFonts w:ascii="Arial" w:eastAsia="Arial" w:hAnsi="Arial" w:cs="Arial"/>
          <w:b/>
          <w:bCs/>
        </w:rPr>
      </w:pPr>
      <w:r w:rsidRPr="00CC24B5">
        <w:rPr>
          <w:rFonts w:ascii="Calibri" w:eastAsia="Calibri" w:hAnsi="Calibri" w:cs="Calibri"/>
          <w:b/>
          <w:bCs/>
        </w:rPr>
        <w:t>6. THD</w:t>
      </w:r>
    </w:p>
    <w:p w:rsidR="00CC24B5" w:rsidRPr="00CC24B5" w:rsidRDefault="00CC24B5" w:rsidP="00CC24B5">
      <w:pPr>
        <w:spacing w:before="80" w:after="80" w:line="240" w:lineRule="auto"/>
        <w:ind w:left="709"/>
        <w:jc w:val="both"/>
        <w:rPr>
          <w:rFonts w:ascii="Arial" w:eastAsia="Arial" w:hAnsi="Arial" w:cs="Arial"/>
          <w:color w:val="000000"/>
        </w:rPr>
      </w:pPr>
      <w:r w:rsidRPr="00CC24B5">
        <w:rPr>
          <w:rFonts w:ascii="Calibri" w:eastAsia="Calibri" w:hAnsi="Calibri" w:cs="Calibri"/>
          <w:color w:val="000000"/>
        </w:rPr>
        <w:t>Cele 15 posturi care depasesc limita de 8% in cel putin o saptamana necesita investigatii privind sursele de distorsiune (posibil sarcini industriale cu conversie de putere, statii de incarcare vehicule electrice sau alte consumatoare nelineare).</w:t>
      </w:r>
    </w:p>
    <w:p w:rsidR="00CC24B5" w:rsidRPr="00CC24B5" w:rsidRDefault="00CC24B5" w:rsidP="00CC24B5">
      <w:pPr>
        <w:spacing w:after="120" w:line="240" w:lineRule="auto"/>
        <w:ind w:left="1418" w:hanging="709"/>
        <w:jc w:val="both"/>
        <w:rPr>
          <w:rFonts w:ascii="Arial" w:eastAsia="Arial" w:hAnsi="Arial" w:cs="Arial"/>
          <w:b/>
          <w:bCs/>
        </w:rPr>
      </w:pPr>
      <w:r w:rsidRPr="00CC24B5">
        <w:rPr>
          <w:rFonts w:ascii="Calibri" w:eastAsia="Calibri" w:hAnsi="Calibri" w:cs="Calibri"/>
          <w:b/>
          <w:bCs/>
        </w:rPr>
        <w:t>7. Factor de nesimetrie de secventa negativa</w:t>
      </w:r>
    </w:p>
    <w:p w:rsidR="00CC24B5" w:rsidRPr="00CC24B5" w:rsidRDefault="00CC24B5" w:rsidP="00CC24B5">
      <w:pPr>
        <w:spacing w:after="120" w:line="240" w:lineRule="auto"/>
        <w:ind w:left="709"/>
        <w:jc w:val="both"/>
        <w:rPr>
          <w:rFonts w:ascii="Arial" w:eastAsia="Arial" w:hAnsi="Arial" w:cs="Arial"/>
        </w:rPr>
      </w:pPr>
      <w:r w:rsidRPr="00CC24B5">
        <w:rPr>
          <w:rFonts w:ascii="Calibri" w:eastAsia="Calibri" w:hAnsi="Calibri" w:cs="Calibri"/>
        </w:rPr>
        <w:t>Cele 73 de posturi cu depasiri necesita investigatii privind distributia neuniforma a sarcinilor monofazate pe faze si echilibrarea acestora prin redistribuirea consumatorilor sau utilizarea de compensatoare statice de nesimetrie.</w:t>
      </w:r>
    </w:p>
    <w:p w:rsidR="00CC24B5" w:rsidRPr="00CC24B5" w:rsidRDefault="00CC24B5" w:rsidP="00CC24B5">
      <w:pPr>
        <w:spacing w:after="120" w:line="240" w:lineRule="auto"/>
        <w:ind w:left="709"/>
        <w:jc w:val="both"/>
        <w:rPr>
          <w:rFonts w:ascii="Arial" w:eastAsia="Arial" w:hAnsi="Arial" w:cs="Arial"/>
          <w:b/>
          <w:bCs/>
        </w:rPr>
      </w:pPr>
      <w:r w:rsidRPr="00CC24B5">
        <w:rPr>
          <w:rFonts w:ascii="Calibri" w:eastAsia="Calibri" w:hAnsi="Calibri" w:cs="Calibri"/>
          <w:b/>
          <w:bCs/>
        </w:rPr>
        <w:t>8. Analiza goluri de tensiune</w:t>
      </w:r>
    </w:p>
    <w:p w:rsidR="00CC24B5" w:rsidRPr="00CC24B5" w:rsidRDefault="00CC24B5" w:rsidP="00CC24B5">
      <w:pPr>
        <w:spacing w:after="120" w:line="240" w:lineRule="auto"/>
        <w:ind w:left="709"/>
        <w:jc w:val="both"/>
        <w:rPr>
          <w:rFonts w:ascii="Arial" w:eastAsia="Arial" w:hAnsi="Arial" w:cs="Arial"/>
        </w:rPr>
      </w:pPr>
      <w:r w:rsidRPr="00CC24B5">
        <w:rPr>
          <w:rFonts w:ascii="Calibri" w:eastAsia="Calibri" w:hAnsi="Calibri" w:cs="Calibri"/>
        </w:rPr>
        <w:t>Posturile de transformare cu goluri de tensiune (5 &gt; u) cu durata mai lunga de &gt;1.000 ms pentru care se vor investiga cauzele (scurtcircuite, protectii lente, scheme de automatizare) si implementarea de masuri prioritare de remediere.</w:t>
      </w:r>
    </w:p>
    <w:p w:rsidR="00CC24B5" w:rsidRPr="00CC24B5" w:rsidRDefault="00CC24B5" w:rsidP="00CC24B5">
      <w:pPr>
        <w:spacing w:after="120" w:line="240" w:lineRule="auto"/>
        <w:ind w:left="709"/>
        <w:jc w:val="both"/>
        <w:rPr>
          <w:rFonts w:ascii="Arial" w:eastAsia="Arial" w:hAnsi="Arial" w:cs="Arial"/>
          <w:b/>
          <w:bCs/>
        </w:rPr>
      </w:pPr>
      <w:r w:rsidRPr="00CC24B5">
        <w:rPr>
          <w:rFonts w:ascii="Calibri" w:eastAsia="Calibri" w:hAnsi="Calibri" w:cs="Calibri"/>
          <w:b/>
          <w:bCs/>
        </w:rPr>
        <w:t xml:space="preserve">9. Analiza supratensiunilor </w:t>
      </w:r>
    </w:p>
    <w:p w:rsidR="00CC24B5" w:rsidRPr="00CC24B5" w:rsidRDefault="00CC24B5" w:rsidP="00CC24B5">
      <w:pPr>
        <w:spacing w:after="120" w:line="240" w:lineRule="auto"/>
        <w:ind w:left="709"/>
        <w:jc w:val="both"/>
        <w:rPr>
          <w:rFonts w:ascii="Arial" w:eastAsia="Arial" w:hAnsi="Arial" w:cs="Arial"/>
        </w:rPr>
      </w:pPr>
      <w:r w:rsidRPr="00CC24B5">
        <w:rPr>
          <w:rFonts w:ascii="Calibri" w:eastAsia="Calibri" w:hAnsi="Calibri" w:cs="Calibri"/>
        </w:rPr>
        <w:t>Cele 805 posturi cu supratensiuni severe (≥ 120% Un) si in special cele cu evenimente de lunga durata (&gt; 500 ms) necesita verificarea reglajelor protectiilor de supratensiune, si a calitatii conexiunilor la neutru retelei.</w:t>
      </w:r>
    </w:p>
    <w:p w:rsidR="00CC24B5" w:rsidRPr="00CC24B5" w:rsidRDefault="00CC24B5" w:rsidP="00CC24B5">
      <w:pPr>
        <w:spacing w:after="0" w:line="240" w:lineRule="auto"/>
        <w:ind w:left="709"/>
        <w:rPr>
          <w:rFonts w:ascii="Arial" w:eastAsia="Arial" w:hAnsi="Arial" w:cs="Arial"/>
        </w:rPr>
      </w:pPr>
    </w:p>
    <w:p w:rsidR="00CC24B5" w:rsidRPr="00CC24B5" w:rsidRDefault="00CC24B5" w:rsidP="00CC24B5">
      <w:pPr>
        <w:spacing w:after="120" w:line="240" w:lineRule="auto"/>
        <w:ind w:left="709"/>
        <w:jc w:val="both"/>
        <w:rPr>
          <w:rFonts w:ascii="Arial" w:eastAsia="Arial" w:hAnsi="Arial" w:cs="Arial"/>
          <w:b/>
          <w:bCs/>
        </w:rPr>
      </w:pPr>
      <w:r w:rsidRPr="00CC24B5">
        <w:rPr>
          <w:rFonts w:ascii="Calibri" w:eastAsia="Calibri" w:hAnsi="Calibri" w:cs="Calibri"/>
          <w:b/>
          <w:bCs/>
        </w:rPr>
        <w:lastRenderedPageBreak/>
        <w:t>Plan masuri - consolidat</w:t>
      </w:r>
    </w:p>
    <w:p w:rsidR="00CC24B5" w:rsidRPr="00CC24B5" w:rsidRDefault="00CC24B5" w:rsidP="00CC24B5">
      <w:pPr>
        <w:spacing w:after="0" w:line="240" w:lineRule="auto"/>
        <w:ind w:left="709"/>
        <w:rPr>
          <w:rFonts w:ascii="Arial" w:eastAsia="Arial" w:hAnsi="Arial" w:cs="Arial"/>
        </w:rPr>
      </w:pPr>
    </w:p>
    <w:tbl>
      <w:tblPr>
        <w:tblW w:w="9413" w:type="dxa"/>
        <w:tblInd w:w="279" w:type="dxa"/>
        <w:tblLook w:val="04A0" w:firstRow="1" w:lastRow="0" w:firstColumn="1" w:lastColumn="0" w:noHBand="0" w:noVBand="1"/>
      </w:tblPr>
      <w:tblGrid>
        <w:gridCol w:w="2693"/>
        <w:gridCol w:w="1520"/>
        <w:gridCol w:w="1300"/>
        <w:gridCol w:w="1300"/>
        <w:gridCol w:w="1300"/>
        <w:gridCol w:w="1300"/>
      </w:tblGrid>
      <w:tr w:rsidR="00CC24B5" w:rsidRPr="00CC24B5" w:rsidTr="00CC24B5">
        <w:trPr>
          <w:trHeight w:val="288"/>
        </w:trPr>
        <w:tc>
          <w:tcPr>
            <w:tcW w:w="2693" w:type="dxa"/>
            <w:tcBorders>
              <w:top w:val="single" w:sz="4" w:space="0" w:color="BFBFBF"/>
              <w:left w:val="single" w:sz="4" w:space="0" w:color="BFBFBF"/>
              <w:bottom w:val="single" w:sz="4" w:space="0" w:color="BFBFBF"/>
              <w:right w:val="single" w:sz="4" w:space="0" w:color="BFBFBF"/>
            </w:tcBorders>
            <w:shd w:val="clear" w:color="000000" w:fill="1F4E79"/>
            <w:vAlign w:val="center"/>
            <w:hideMark/>
          </w:tcPr>
          <w:p w:rsidR="00CC24B5" w:rsidRPr="00CC24B5" w:rsidRDefault="00CC24B5" w:rsidP="00CC24B5">
            <w:pPr>
              <w:spacing w:before="40" w:after="40" w:line="240" w:lineRule="auto"/>
              <w:jc w:val="center"/>
              <w:rPr>
                <w:rFonts w:ascii="Arial" w:eastAsia="Times New Roman" w:hAnsi="Arial" w:cs="Arial"/>
                <w:b/>
                <w:bCs/>
                <w:color w:val="FFFFFF"/>
                <w:sz w:val="20"/>
                <w:szCs w:val="20"/>
              </w:rPr>
            </w:pPr>
            <w:bookmarkStart w:id="17" w:name="_Hlk232159556"/>
            <w:r w:rsidRPr="00CC24B5">
              <w:rPr>
                <w:rFonts w:ascii="Calibri" w:eastAsia="Calibri" w:hAnsi="Calibri" w:cs="Calibri"/>
                <w:b/>
                <w:bCs/>
                <w:color w:val="FFFFFF"/>
                <w:sz w:val="20"/>
                <w:szCs w:val="20"/>
              </w:rPr>
              <w:t>Categorie Plan de masuri remediere</w:t>
            </w:r>
          </w:p>
        </w:tc>
        <w:tc>
          <w:tcPr>
            <w:tcW w:w="1520" w:type="dxa"/>
            <w:tcBorders>
              <w:top w:val="single" w:sz="4" w:space="0" w:color="BFBFBF"/>
              <w:left w:val="nil"/>
              <w:bottom w:val="single" w:sz="4" w:space="0" w:color="BFBFBF"/>
              <w:right w:val="single" w:sz="4" w:space="0" w:color="BFBFBF"/>
            </w:tcBorders>
            <w:shd w:val="clear" w:color="000000" w:fill="1F4E79"/>
            <w:vAlign w:val="center"/>
            <w:hideMark/>
          </w:tcPr>
          <w:p w:rsidR="00CC24B5" w:rsidRPr="00CC24B5" w:rsidRDefault="00CC24B5" w:rsidP="00CC24B5">
            <w:pPr>
              <w:spacing w:before="40" w:after="40" w:line="240" w:lineRule="auto"/>
              <w:jc w:val="center"/>
              <w:rPr>
                <w:rFonts w:ascii="Arial" w:eastAsia="Times New Roman" w:hAnsi="Arial" w:cs="Arial"/>
                <w:b/>
                <w:bCs/>
                <w:color w:val="FFFFFF"/>
                <w:sz w:val="20"/>
                <w:szCs w:val="20"/>
              </w:rPr>
            </w:pPr>
            <w:r w:rsidRPr="00CC24B5">
              <w:rPr>
                <w:rFonts w:ascii="Calibri" w:eastAsia="Calibri" w:hAnsi="Calibri" w:cs="Calibri"/>
                <w:b/>
                <w:bCs/>
                <w:color w:val="FFFFFF"/>
                <w:sz w:val="20"/>
                <w:szCs w:val="20"/>
              </w:rPr>
              <w:t>Total posturi</w:t>
            </w:r>
          </w:p>
        </w:tc>
        <w:tc>
          <w:tcPr>
            <w:tcW w:w="1300" w:type="dxa"/>
            <w:tcBorders>
              <w:top w:val="single" w:sz="4" w:space="0" w:color="BFBFBF"/>
              <w:left w:val="nil"/>
              <w:bottom w:val="single" w:sz="4" w:space="0" w:color="BFBFBF"/>
              <w:right w:val="single" w:sz="4" w:space="0" w:color="BFBFBF"/>
            </w:tcBorders>
            <w:shd w:val="clear" w:color="000000" w:fill="1F4E79"/>
            <w:vAlign w:val="center"/>
            <w:hideMark/>
          </w:tcPr>
          <w:p w:rsidR="00CC24B5" w:rsidRPr="00CC24B5" w:rsidRDefault="00CC24B5" w:rsidP="00CC24B5">
            <w:pPr>
              <w:spacing w:before="40" w:after="40" w:line="240" w:lineRule="auto"/>
              <w:jc w:val="center"/>
              <w:rPr>
                <w:rFonts w:ascii="Arial" w:eastAsia="Times New Roman" w:hAnsi="Arial" w:cs="Arial"/>
                <w:b/>
                <w:bCs/>
                <w:color w:val="FFFFFF"/>
                <w:sz w:val="20"/>
                <w:szCs w:val="20"/>
              </w:rPr>
            </w:pPr>
            <w:proofErr w:type="gramStart"/>
            <w:r w:rsidRPr="00CC24B5">
              <w:rPr>
                <w:rFonts w:ascii="Calibri" w:eastAsia="Calibri" w:hAnsi="Calibri" w:cs="Calibri"/>
                <w:b/>
                <w:bCs/>
                <w:color w:val="FFFFFF"/>
                <w:sz w:val="20"/>
                <w:szCs w:val="20"/>
              </w:rPr>
              <w:t>An</w:t>
            </w:r>
            <w:proofErr w:type="gramEnd"/>
            <w:r w:rsidRPr="00CC24B5">
              <w:rPr>
                <w:rFonts w:ascii="Calibri" w:eastAsia="Calibri" w:hAnsi="Calibri" w:cs="Calibri"/>
                <w:b/>
                <w:bCs/>
                <w:color w:val="FFFFFF"/>
                <w:sz w:val="20"/>
                <w:szCs w:val="20"/>
              </w:rPr>
              <w:t xml:space="preserve"> 2026</w:t>
            </w:r>
          </w:p>
        </w:tc>
        <w:tc>
          <w:tcPr>
            <w:tcW w:w="1300" w:type="dxa"/>
            <w:tcBorders>
              <w:top w:val="single" w:sz="4" w:space="0" w:color="BFBFBF"/>
              <w:left w:val="nil"/>
              <w:bottom w:val="single" w:sz="4" w:space="0" w:color="BFBFBF"/>
              <w:right w:val="single" w:sz="4" w:space="0" w:color="BFBFBF"/>
            </w:tcBorders>
            <w:shd w:val="clear" w:color="000000" w:fill="1F4E79"/>
            <w:vAlign w:val="center"/>
            <w:hideMark/>
          </w:tcPr>
          <w:p w:rsidR="00CC24B5" w:rsidRPr="00CC24B5" w:rsidRDefault="00CC24B5" w:rsidP="00CC24B5">
            <w:pPr>
              <w:spacing w:before="40" w:after="40" w:line="240" w:lineRule="auto"/>
              <w:jc w:val="center"/>
              <w:rPr>
                <w:rFonts w:ascii="Arial" w:eastAsia="Times New Roman" w:hAnsi="Arial" w:cs="Arial"/>
                <w:b/>
                <w:bCs/>
                <w:color w:val="FFFFFF"/>
                <w:sz w:val="20"/>
                <w:szCs w:val="20"/>
              </w:rPr>
            </w:pPr>
            <w:proofErr w:type="gramStart"/>
            <w:r w:rsidRPr="00CC24B5">
              <w:rPr>
                <w:rFonts w:ascii="Calibri" w:eastAsia="Calibri" w:hAnsi="Calibri" w:cs="Calibri"/>
                <w:b/>
                <w:bCs/>
                <w:color w:val="FFFFFF"/>
                <w:sz w:val="20"/>
                <w:szCs w:val="20"/>
              </w:rPr>
              <w:t>An</w:t>
            </w:r>
            <w:proofErr w:type="gramEnd"/>
            <w:r w:rsidRPr="00CC24B5">
              <w:rPr>
                <w:rFonts w:ascii="Calibri" w:eastAsia="Calibri" w:hAnsi="Calibri" w:cs="Calibri"/>
                <w:b/>
                <w:bCs/>
                <w:color w:val="FFFFFF"/>
                <w:sz w:val="20"/>
                <w:szCs w:val="20"/>
              </w:rPr>
              <w:t xml:space="preserve"> 2027</w:t>
            </w:r>
          </w:p>
        </w:tc>
        <w:tc>
          <w:tcPr>
            <w:tcW w:w="1300" w:type="dxa"/>
            <w:tcBorders>
              <w:top w:val="single" w:sz="4" w:space="0" w:color="BFBFBF"/>
              <w:left w:val="nil"/>
              <w:bottom w:val="single" w:sz="4" w:space="0" w:color="BFBFBF"/>
              <w:right w:val="single" w:sz="4" w:space="0" w:color="BFBFBF"/>
            </w:tcBorders>
            <w:shd w:val="clear" w:color="000000" w:fill="1F4E79"/>
            <w:vAlign w:val="center"/>
            <w:hideMark/>
          </w:tcPr>
          <w:p w:rsidR="00CC24B5" w:rsidRPr="00CC24B5" w:rsidRDefault="00CC24B5" w:rsidP="00CC24B5">
            <w:pPr>
              <w:spacing w:before="40" w:after="40" w:line="240" w:lineRule="auto"/>
              <w:jc w:val="center"/>
              <w:rPr>
                <w:rFonts w:ascii="Arial" w:eastAsia="Times New Roman" w:hAnsi="Arial" w:cs="Arial"/>
                <w:b/>
                <w:bCs/>
                <w:color w:val="FFFFFF"/>
                <w:sz w:val="20"/>
                <w:szCs w:val="20"/>
              </w:rPr>
            </w:pPr>
            <w:proofErr w:type="gramStart"/>
            <w:r w:rsidRPr="00CC24B5">
              <w:rPr>
                <w:rFonts w:ascii="Calibri" w:eastAsia="Calibri" w:hAnsi="Calibri" w:cs="Calibri"/>
                <w:b/>
                <w:bCs/>
                <w:color w:val="FFFFFF"/>
                <w:sz w:val="20"/>
                <w:szCs w:val="20"/>
              </w:rPr>
              <w:t>An</w:t>
            </w:r>
            <w:proofErr w:type="gramEnd"/>
            <w:r w:rsidRPr="00CC24B5">
              <w:rPr>
                <w:rFonts w:ascii="Calibri" w:eastAsia="Calibri" w:hAnsi="Calibri" w:cs="Calibri"/>
                <w:b/>
                <w:bCs/>
                <w:color w:val="FFFFFF"/>
                <w:sz w:val="20"/>
                <w:szCs w:val="20"/>
              </w:rPr>
              <w:t xml:space="preserve"> 2028</w:t>
            </w:r>
          </w:p>
        </w:tc>
        <w:tc>
          <w:tcPr>
            <w:tcW w:w="1300" w:type="dxa"/>
            <w:tcBorders>
              <w:top w:val="single" w:sz="4" w:space="0" w:color="BFBFBF"/>
              <w:left w:val="nil"/>
              <w:bottom w:val="single" w:sz="4" w:space="0" w:color="BFBFBF"/>
              <w:right w:val="single" w:sz="4" w:space="0" w:color="BFBFBF"/>
            </w:tcBorders>
            <w:shd w:val="clear" w:color="000000" w:fill="1F4E79"/>
            <w:vAlign w:val="center"/>
            <w:hideMark/>
          </w:tcPr>
          <w:p w:rsidR="00CC24B5" w:rsidRPr="00CC24B5" w:rsidRDefault="00CC24B5" w:rsidP="00CC24B5">
            <w:pPr>
              <w:spacing w:before="40" w:after="40" w:line="240" w:lineRule="auto"/>
              <w:jc w:val="center"/>
              <w:rPr>
                <w:rFonts w:ascii="Arial" w:eastAsia="Times New Roman" w:hAnsi="Arial" w:cs="Arial"/>
                <w:b/>
                <w:bCs/>
                <w:color w:val="FFFFFF"/>
                <w:sz w:val="20"/>
                <w:szCs w:val="20"/>
              </w:rPr>
            </w:pPr>
            <w:proofErr w:type="gramStart"/>
            <w:r w:rsidRPr="00CC24B5">
              <w:rPr>
                <w:rFonts w:ascii="Calibri" w:eastAsia="Calibri" w:hAnsi="Calibri" w:cs="Calibri"/>
                <w:b/>
                <w:bCs/>
                <w:color w:val="FFFFFF"/>
                <w:sz w:val="20"/>
                <w:szCs w:val="20"/>
              </w:rPr>
              <w:t>An</w:t>
            </w:r>
            <w:proofErr w:type="gramEnd"/>
            <w:r w:rsidRPr="00CC24B5">
              <w:rPr>
                <w:rFonts w:ascii="Calibri" w:eastAsia="Calibri" w:hAnsi="Calibri" w:cs="Calibri"/>
                <w:b/>
                <w:bCs/>
                <w:color w:val="FFFFFF"/>
                <w:sz w:val="20"/>
                <w:szCs w:val="20"/>
              </w:rPr>
              <w:t xml:space="preserve"> 2029</w:t>
            </w:r>
          </w:p>
        </w:tc>
      </w:tr>
      <w:tr w:rsidR="00CC24B5" w:rsidRPr="00CC24B5" w:rsidTr="00CC24B5">
        <w:trPr>
          <w:trHeight w:val="288"/>
        </w:trPr>
        <w:tc>
          <w:tcPr>
            <w:tcW w:w="2693" w:type="dxa"/>
            <w:tcBorders>
              <w:top w:val="nil"/>
              <w:left w:val="single" w:sz="4" w:space="0" w:color="BFBFBF"/>
              <w:bottom w:val="single" w:sz="4" w:space="0" w:color="BFBFBF"/>
              <w:right w:val="single" w:sz="4" w:space="0" w:color="BFBFBF"/>
            </w:tcBorders>
            <w:shd w:val="clear" w:color="000000" w:fill="EBF3FB"/>
            <w:vAlign w:val="center"/>
            <w:hideMark/>
          </w:tcPr>
          <w:p w:rsidR="00CC24B5" w:rsidRPr="00CC24B5" w:rsidRDefault="00CC24B5" w:rsidP="00CC24B5">
            <w:pPr>
              <w:spacing w:before="40" w:after="40" w:line="240" w:lineRule="auto"/>
              <w:rPr>
                <w:rFonts w:ascii="Arial" w:eastAsia="Times New Roman" w:hAnsi="Arial" w:cs="Arial"/>
                <w:sz w:val="20"/>
                <w:szCs w:val="20"/>
              </w:rPr>
            </w:pPr>
            <w:r w:rsidRPr="00CC24B5">
              <w:rPr>
                <w:rFonts w:ascii="Calibri" w:eastAsia="Calibri" w:hAnsi="Calibri" w:cs="Calibri"/>
                <w:sz w:val="20"/>
                <w:szCs w:val="20"/>
              </w:rPr>
              <w:t>1. Tensiune [241,5–253 V]</w:t>
            </w:r>
          </w:p>
        </w:tc>
        <w:tc>
          <w:tcPr>
            <w:tcW w:w="1520" w:type="dxa"/>
            <w:tcBorders>
              <w:top w:val="nil"/>
              <w:left w:val="nil"/>
              <w:bottom w:val="single" w:sz="4" w:space="0" w:color="BFBFBF"/>
              <w:right w:val="single" w:sz="4" w:space="0" w:color="BFBFBF"/>
            </w:tcBorders>
            <w:shd w:val="clear" w:color="000000" w:fill="EBF3FB"/>
            <w:vAlign w:val="center"/>
            <w:hideMark/>
          </w:tcPr>
          <w:p w:rsidR="00CC24B5" w:rsidRPr="00CC24B5" w:rsidRDefault="00CC24B5" w:rsidP="00CC24B5">
            <w:pPr>
              <w:spacing w:before="40" w:after="40" w:line="240" w:lineRule="auto"/>
              <w:jc w:val="center"/>
              <w:rPr>
                <w:rFonts w:ascii="Arial" w:eastAsia="Times New Roman" w:hAnsi="Arial" w:cs="Arial"/>
                <w:b/>
                <w:bCs/>
                <w:sz w:val="20"/>
                <w:szCs w:val="20"/>
              </w:rPr>
            </w:pPr>
            <w:r w:rsidRPr="00CC24B5">
              <w:rPr>
                <w:rFonts w:ascii="Calibri" w:eastAsia="Calibri" w:hAnsi="Calibri" w:cs="Calibri"/>
                <w:b/>
                <w:bCs/>
                <w:sz w:val="20"/>
                <w:szCs w:val="20"/>
              </w:rPr>
              <w:t>1129</w:t>
            </w:r>
          </w:p>
        </w:tc>
        <w:tc>
          <w:tcPr>
            <w:tcW w:w="1300" w:type="dxa"/>
            <w:tcBorders>
              <w:top w:val="nil"/>
              <w:left w:val="nil"/>
              <w:bottom w:val="single" w:sz="4" w:space="0" w:color="BFBFBF"/>
              <w:right w:val="single" w:sz="4" w:space="0" w:color="BFBFBF"/>
            </w:tcBorders>
            <w:shd w:val="clear" w:color="000000" w:fill="EBF3FB"/>
            <w:vAlign w:val="center"/>
            <w:hideMark/>
          </w:tcPr>
          <w:p w:rsidR="00CC24B5" w:rsidRPr="00CC24B5" w:rsidRDefault="00CC24B5" w:rsidP="00CC24B5">
            <w:pPr>
              <w:spacing w:before="40" w:after="40" w:line="240" w:lineRule="auto"/>
              <w:jc w:val="center"/>
              <w:rPr>
                <w:rFonts w:ascii="Arial" w:eastAsia="Times New Roman" w:hAnsi="Arial" w:cs="Arial"/>
                <w:sz w:val="20"/>
                <w:szCs w:val="20"/>
              </w:rPr>
            </w:pPr>
            <w:r w:rsidRPr="00CC24B5">
              <w:rPr>
                <w:rFonts w:ascii="Calibri" w:eastAsia="Calibri" w:hAnsi="Calibri" w:cs="Calibri"/>
                <w:sz w:val="20"/>
                <w:szCs w:val="20"/>
              </w:rPr>
              <w:t>60</w:t>
            </w:r>
          </w:p>
        </w:tc>
        <w:tc>
          <w:tcPr>
            <w:tcW w:w="1300" w:type="dxa"/>
            <w:tcBorders>
              <w:top w:val="nil"/>
              <w:left w:val="nil"/>
              <w:bottom w:val="single" w:sz="4" w:space="0" w:color="BFBFBF"/>
              <w:right w:val="single" w:sz="4" w:space="0" w:color="BFBFBF"/>
            </w:tcBorders>
            <w:shd w:val="clear" w:color="000000" w:fill="EBF3FB"/>
            <w:vAlign w:val="center"/>
            <w:hideMark/>
          </w:tcPr>
          <w:p w:rsidR="00CC24B5" w:rsidRPr="00CC24B5" w:rsidRDefault="00CC24B5" w:rsidP="00CC24B5">
            <w:pPr>
              <w:spacing w:before="40" w:after="40" w:line="240" w:lineRule="auto"/>
              <w:jc w:val="center"/>
              <w:rPr>
                <w:rFonts w:ascii="Arial" w:eastAsia="Times New Roman" w:hAnsi="Arial" w:cs="Arial"/>
                <w:sz w:val="20"/>
                <w:szCs w:val="20"/>
              </w:rPr>
            </w:pPr>
            <w:r w:rsidRPr="00CC24B5">
              <w:rPr>
                <w:rFonts w:ascii="Calibri" w:eastAsia="Calibri" w:hAnsi="Calibri" w:cs="Calibri"/>
                <w:sz w:val="20"/>
                <w:szCs w:val="20"/>
              </w:rPr>
              <w:t>303</w:t>
            </w:r>
          </w:p>
        </w:tc>
        <w:tc>
          <w:tcPr>
            <w:tcW w:w="1300" w:type="dxa"/>
            <w:tcBorders>
              <w:top w:val="nil"/>
              <w:left w:val="nil"/>
              <w:bottom w:val="single" w:sz="4" w:space="0" w:color="BFBFBF"/>
              <w:right w:val="single" w:sz="4" w:space="0" w:color="BFBFBF"/>
            </w:tcBorders>
            <w:shd w:val="clear" w:color="000000" w:fill="EBF3FB"/>
            <w:vAlign w:val="center"/>
            <w:hideMark/>
          </w:tcPr>
          <w:p w:rsidR="00CC24B5" w:rsidRPr="00CC24B5" w:rsidRDefault="00CC24B5" w:rsidP="00CC24B5">
            <w:pPr>
              <w:spacing w:before="40" w:after="40" w:line="240" w:lineRule="auto"/>
              <w:jc w:val="center"/>
              <w:rPr>
                <w:rFonts w:ascii="Arial" w:eastAsia="Times New Roman" w:hAnsi="Arial" w:cs="Arial"/>
                <w:sz w:val="20"/>
                <w:szCs w:val="20"/>
              </w:rPr>
            </w:pPr>
            <w:r w:rsidRPr="00CC24B5">
              <w:rPr>
                <w:rFonts w:ascii="Calibri" w:eastAsia="Calibri" w:hAnsi="Calibri" w:cs="Calibri"/>
                <w:sz w:val="20"/>
                <w:szCs w:val="20"/>
              </w:rPr>
              <w:t>330</w:t>
            </w:r>
          </w:p>
        </w:tc>
        <w:tc>
          <w:tcPr>
            <w:tcW w:w="1300" w:type="dxa"/>
            <w:tcBorders>
              <w:top w:val="nil"/>
              <w:left w:val="nil"/>
              <w:bottom w:val="single" w:sz="4" w:space="0" w:color="BFBFBF"/>
              <w:right w:val="single" w:sz="4" w:space="0" w:color="BFBFBF"/>
            </w:tcBorders>
            <w:shd w:val="clear" w:color="000000" w:fill="EBF3FB"/>
            <w:vAlign w:val="center"/>
            <w:hideMark/>
          </w:tcPr>
          <w:p w:rsidR="00CC24B5" w:rsidRPr="00CC24B5" w:rsidRDefault="00CC24B5" w:rsidP="00CC24B5">
            <w:pPr>
              <w:spacing w:before="40" w:after="40" w:line="240" w:lineRule="auto"/>
              <w:jc w:val="center"/>
              <w:rPr>
                <w:rFonts w:ascii="Arial" w:eastAsia="Times New Roman" w:hAnsi="Arial" w:cs="Arial"/>
                <w:sz w:val="20"/>
                <w:szCs w:val="20"/>
              </w:rPr>
            </w:pPr>
            <w:r w:rsidRPr="00CC24B5">
              <w:rPr>
                <w:rFonts w:ascii="Calibri" w:eastAsia="Calibri" w:hAnsi="Calibri" w:cs="Calibri"/>
                <w:sz w:val="20"/>
                <w:szCs w:val="20"/>
              </w:rPr>
              <w:t>436</w:t>
            </w:r>
          </w:p>
        </w:tc>
      </w:tr>
      <w:tr w:rsidR="00CC24B5" w:rsidRPr="00CC24B5" w:rsidTr="00CC24B5">
        <w:trPr>
          <w:trHeight w:val="288"/>
        </w:trPr>
        <w:tc>
          <w:tcPr>
            <w:tcW w:w="2693" w:type="dxa"/>
            <w:tcBorders>
              <w:top w:val="nil"/>
              <w:left w:val="single" w:sz="4" w:space="0" w:color="BFBFBF"/>
              <w:bottom w:val="single" w:sz="4" w:space="0" w:color="BFBFBF"/>
              <w:right w:val="single" w:sz="4" w:space="0" w:color="BFBFBF"/>
            </w:tcBorders>
            <w:vAlign w:val="center"/>
            <w:hideMark/>
          </w:tcPr>
          <w:p w:rsidR="00CC24B5" w:rsidRPr="00CC24B5" w:rsidRDefault="00CC24B5" w:rsidP="00CC24B5">
            <w:pPr>
              <w:spacing w:before="40" w:after="40" w:line="240" w:lineRule="auto"/>
              <w:rPr>
                <w:rFonts w:ascii="Arial" w:eastAsia="Times New Roman" w:hAnsi="Arial" w:cs="Arial"/>
                <w:sz w:val="20"/>
                <w:szCs w:val="20"/>
              </w:rPr>
            </w:pPr>
            <w:r w:rsidRPr="00CC24B5">
              <w:rPr>
                <w:rFonts w:ascii="Calibri" w:eastAsia="Calibri" w:hAnsi="Calibri" w:cs="Calibri"/>
                <w:sz w:val="20"/>
                <w:szCs w:val="20"/>
              </w:rPr>
              <w:t>1. Tensiune &gt;253 V</w:t>
            </w:r>
          </w:p>
        </w:tc>
        <w:tc>
          <w:tcPr>
            <w:tcW w:w="1520" w:type="dxa"/>
            <w:tcBorders>
              <w:top w:val="nil"/>
              <w:left w:val="nil"/>
              <w:bottom w:val="single" w:sz="4" w:space="0" w:color="BFBFBF"/>
              <w:right w:val="single" w:sz="4" w:space="0" w:color="BFBFBF"/>
            </w:tcBorders>
            <w:vAlign w:val="center"/>
            <w:hideMark/>
          </w:tcPr>
          <w:p w:rsidR="00CC24B5" w:rsidRPr="00CC24B5" w:rsidRDefault="00CC24B5" w:rsidP="00CC24B5">
            <w:pPr>
              <w:spacing w:before="40" w:after="40" w:line="240" w:lineRule="auto"/>
              <w:jc w:val="center"/>
              <w:rPr>
                <w:rFonts w:ascii="Arial" w:eastAsia="Times New Roman" w:hAnsi="Arial" w:cs="Arial"/>
                <w:b/>
                <w:bCs/>
                <w:sz w:val="20"/>
                <w:szCs w:val="20"/>
              </w:rPr>
            </w:pPr>
            <w:r w:rsidRPr="00CC24B5">
              <w:rPr>
                <w:rFonts w:ascii="Calibri" w:eastAsia="Calibri" w:hAnsi="Calibri" w:cs="Calibri"/>
                <w:b/>
                <w:bCs/>
                <w:sz w:val="20"/>
                <w:szCs w:val="20"/>
              </w:rPr>
              <w:t>8</w:t>
            </w:r>
          </w:p>
        </w:tc>
        <w:tc>
          <w:tcPr>
            <w:tcW w:w="1300" w:type="dxa"/>
            <w:tcBorders>
              <w:top w:val="nil"/>
              <w:left w:val="nil"/>
              <w:bottom w:val="single" w:sz="4" w:space="0" w:color="BFBFBF"/>
              <w:right w:val="single" w:sz="4" w:space="0" w:color="BFBFBF"/>
            </w:tcBorders>
            <w:vAlign w:val="center"/>
            <w:hideMark/>
          </w:tcPr>
          <w:p w:rsidR="00CC24B5" w:rsidRPr="00CC24B5" w:rsidRDefault="00CC24B5" w:rsidP="00CC24B5">
            <w:pPr>
              <w:spacing w:before="40" w:after="40" w:line="240" w:lineRule="auto"/>
              <w:jc w:val="center"/>
              <w:rPr>
                <w:rFonts w:ascii="Arial" w:eastAsia="Times New Roman" w:hAnsi="Arial" w:cs="Arial"/>
                <w:sz w:val="20"/>
                <w:szCs w:val="20"/>
              </w:rPr>
            </w:pPr>
            <w:r w:rsidRPr="00CC24B5">
              <w:rPr>
                <w:rFonts w:ascii="Calibri" w:eastAsia="Calibri" w:hAnsi="Calibri" w:cs="Calibri"/>
                <w:sz w:val="20"/>
                <w:szCs w:val="20"/>
              </w:rPr>
              <w:t>8</w:t>
            </w:r>
          </w:p>
        </w:tc>
        <w:tc>
          <w:tcPr>
            <w:tcW w:w="1300" w:type="dxa"/>
            <w:tcBorders>
              <w:top w:val="nil"/>
              <w:left w:val="nil"/>
              <w:bottom w:val="single" w:sz="4" w:space="0" w:color="BFBFBF"/>
              <w:right w:val="single" w:sz="4" w:space="0" w:color="BFBFBF"/>
            </w:tcBorders>
            <w:vAlign w:val="center"/>
            <w:hideMark/>
          </w:tcPr>
          <w:p w:rsidR="00CC24B5" w:rsidRPr="00CC24B5" w:rsidRDefault="00CC24B5" w:rsidP="00CC24B5">
            <w:pPr>
              <w:spacing w:before="40" w:after="40" w:line="240" w:lineRule="auto"/>
              <w:jc w:val="center"/>
              <w:rPr>
                <w:rFonts w:ascii="Arial" w:eastAsia="Times New Roman" w:hAnsi="Arial" w:cs="Arial"/>
                <w:sz w:val="20"/>
                <w:szCs w:val="20"/>
              </w:rPr>
            </w:pPr>
            <w:r w:rsidRPr="00CC24B5">
              <w:rPr>
                <w:rFonts w:ascii="Calibri" w:eastAsia="Calibri" w:hAnsi="Calibri" w:cs="Calibri"/>
                <w:sz w:val="20"/>
                <w:szCs w:val="20"/>
              </w:rPr>
              <w:t>0</w:t>
            </w:r>
          </w:p>
        </w:tc>
        <w:tc>
          <w:tcPr>
            <w:tcW w:w="1300" w:type="dxa"/>
            <w:tcBorders>
              <w:top w:val="nil"/>
              <w:left w:val="nil"/>
              <w:bottom w:val="single" w:sz="4" w:space="0" w:color="BFBFBF"/>
              <w:right w:val="single" w:sz="4" w:space="0" w:color="BFBFBF"/>
            </w:tcBorders>
            <w:vAlign w:val="center"/>
            <w:hideMark/>
          </w:tcPr>
          <w:p w:rsidR="00CC24B5" w:rsidRPr="00CC24B5" w:rsidRDefault="00CC24B5" w:rsidP="00CC24B5">
            <w:pPr>
              <w:spacing w:before="40" w:after="40" w:line="240" w:lineRule="auto"/>
              <w:jc w:val="center"/>
              <w:rPr>
                <w:rFonts w:ascii="Arial" w:eastAsia="Times New Roman" w:hAnsi="Arial" w:cs="Arial"/>
                <w:sz w:val="20"/>
                <w:szCs w:val="20"/>
              </w:rPr>
            </w:pPr>
            <w:r w:rsidRPr="00CC24B5">
              <w:rPr>
                <w:rFonts w:ascii="Calibri" w:eastAsia="Calibri" w:hAnsi="Calibri" w:cs="Calibri"/>
                <w:sz w:val="20"/>
                <w:szCs w:val="20"/>
              </w:rPr>
              <w:t>0</w:t>
            </w:r>
          </w:p>
        </w:tc>
        <w:tc>
          <w:tcPr>
            <w:tcW w:w="1300" w:type="dxa"/>
            <w:tcBorders>
              <w:top w:val="nil"/>
              <w:left w:val="nil"/>
              <w:bottom w:val="single" w:sz="4" w:space="0" w:color="BFBFBF"/>
              <w:right w:val="single" w:sz="4" w:space="0" w:color="BFBFBF"/>
            </w:tcBorders>
            <w:vAlign w:val="center"/>
            <w:hideMark/>
          </w:tcPr>
          <w:p w:rsidR="00CC24B5" w:rsidRPr="00CC24B5" w:rsidRDefault="00CC24B5" w:rsidP="00CC24B5">
            <w:pPr>
              <w:spacing w:before="40" w:after="40" w:line="240" w:lineRule="auto"/>
              <w:jc w:val="center"/>
              <w:rPr>
                <w:rFonts w:ascii="Arial" w:eastAsia="Times New Roman" w:hAnsi="Arial" w:cs="Arial"/>
                <w:sz w:val="20"/>
                <w:szCs w:val="20"/>
              </w:rPr>
            </w:pPr>
            <w:r w:rsidRPr="00CC24B5">
              <w:rPr>
                <w:rFonts w:ascii="Calibri" w:eastAsia="Calibri" w:hAnsi="Calibri" w:cs="Calibri"/>
                <w:sz w:val="20"/>
                <w:szCs w:val="20"/>
              </w:rPr>
              <w:t>0</w:t>
            </w:r>
          </w:p>
        </w:tc>
      </w:tr>
      <w:tr w:rsidR="00CC24B5" w:rsidRPr="00CC24B5" w:rsidTr="00CC24B5">
        <w:trPr>
          <w:trHeight w:val="288"/>
        </w:trPr>
        <w:tc>
          <w:tcPr>
            <w:tcW w:w="2693" w:type="dxa"/>
            <w:tcBorders>
              <w:top w:val="nil"/>
              <w:left w:val="single" w:sz="4" w:space="0" w:color="BFBFBF"/>
              <w:bottom w:val="single" w:sz="4" w:space="0" w:color="BFBFBF"/>
              <w:right w:val="single" w:sz="4" w:space="0" w:color="BFBFBF"/>
            </w:tcBorders>
            <w:shd w:val="clear" w:color="000000" w:fill="EBF3FB"/>
            <w:vAlign w:val="center"/>
            <w:hideMark/>
          </w:tcPr>
          <w:p w:rsidR="00CC24B5" w:rsidRPr="00CC24B5" w:rsidRDefault="00CC24B5" w:rsidP="00CC24B5">
            <w:pPr>
              <w:spacing w:before="40" w:after="40" w:line="240" w:lineRule="auto"/>
              <w:rPr>
                <w:rFonts w:ascii="Arial" w:eastAsia="Times New Roman" w:hAnsi="Arial" w:cs="Arial"/>
                <w:sz w:val="20"/>
                <w:szCs w:val="20"/>
              </w:rPr>
            </w:pPr>
            <w:r w:rsidRPr="00CC24B5">
              <w:rPr>
                <w:rFonts w:ascii="Calibri" w:eastAsia="Calibri" w:hAnsi="Calibri" w:cs="Calibri"/>
                <w:sz w:val="20"/>
                <w:szCs w:val="20"/>
              </w:rPr>
              <w:t xml:space="preserve">2. Intreruperi scurte </w:t>
            </w:r>
          </w:p>
        </w:tc>
        <w:tc>
          <w:tcPr>
            <w:tcW w:w="1520" w:type="dxa"/>
            <w:tcBorders>
              <w:top w:val="nil"/>
              <w:left w:val="nil"/>
              <w:bottom w:val="single" w:sz="4" w:space="0" w:color="BFBFBF"/>
              <w:right w:val="single" w:sz="4" w:space="0" w:color="BFBFBF"/>
            </w:tcBorders>
            <w:shd w:val="clear" w:color="000000" w:fill="EBF3FB"/>
            <w:vAlign w:val="center"/>
            <w:hideMark/>
          </w:tcPr>
          <w:p w:rsidR="00CC24B5" w:rsidRPr="00CC24B5" w:rsidRDefault="00CC24B5" w:rsidP="00CC24B5">
            <w:pPr>
              <w:spacing w:before="40" w:after="40" w:line="240" w:lineRule="auto"/>
              <w:jc w:val="center"/>
              <w:rPr>
                <w:rFonts w:ascii="Arial" w:eastAsia="Times New Roman" w:hAnsi="Arial" w:cs="Arial"/>
                <w:b/>
                <w:bCs/>
                <w:sz w:val="20"/>
                <w:szCs w:val="20"/>
              </w:rPr>
            </w:pPr>
            <w:r w:rsidRPr="00CC24B5">
              <w:rPr>
                <w:rFonts w:ascii="Calibri" w:eastAsia="Calibri" w:hAnsi="Calibri" w:cs="Calibri"/>
                <w:b/>
                <w:bCs/>
                <w:sz w:val="20"/>
                <w:szCs w:val="20"/>
              </w:rPr>
              <w:t>81</w:t>
            </w:r>
          </w:p>
        </w:tc>
        <w:tc>
          <w:tcPr>
            <w:tcW w:w="1300" w:type="dxa"/>
            <w:tcBorders>
              <w:top w:val="nil"/>
              <w:left w:val="nil"/>
              <w:bottom w:val="single" w:sz="4" w:space="0" w:color="BFBFBF"/>
              <w:right w:val="single" w:sz="4" w:space="0" w:color="BFBFBF"/>
            </w:tcBorders>
            <w:shd w:val="clear" w:color="000000" w:fill="EBF3FB"/>
            <w:vAlign w:val="center"/>
            <w:hideMark/>
          </w:tcPr>
          <w:p w:rsidR="00CC24B5" w:rsidRPr="00CC24B5" w:rsidRDefault="00CC24B5" w:rsidP="00CC24B5">
            <w:pPr>
              <w:spacing w:before="40" w:after="40" w:line="240" w:lineRule="auto"/>
              <w:jc w:val="center"/>
              <w:rPr>
                <w:rFonts w:ascii="Arial" w:eastAsia="Times New Roman" w:hAnsi="Arial" w:cs="Arial"/>
                <w:sz w:val="20"/>
                <w:szCs w:val="20"/>
              </w:rPr>
            </w:pPr>
            <w:r w:rsidRPr="00CC24B5">
              <w:rPr>
                <w:rFonts w:ascii="Calibri" w:eastAsia="Calibri" w:hAnsi="Calibri" w:cs="Calibri"/>
                <w:sz w:val="20"/>
                <w:szCs w:val="20"/>
              </w:rPr>
              <w:t>32</w:t>
            </w:r>
          </w:p>
        </w:tc>
        <w:tc>
          <w:tcPr>
            <w:tcW w:w="1300" w:type="dxa"/>
            <w:tcBorders>
              <w:top w:val="nil"/>
              <w:left w:val="nil"/>
              <w:bottom w:val="single" w:sz="4" w:space="0" w:color="BFBFBF"/>
              <w:right w:val="single" w:sz="4" w:space="0" w:color="BFBFBF"/>
            </w:tcBorders>
            <w:shd w:val="clear" w:color="000000" w:fill="EBF3FB"/>
            <w:vAlign w:val="center"/>
            <w:hideMark/>
          </w:tcPr>
          <w:p w:rsidR="00CC24B5" w:rsidRPr="00CC24B5" w:rsidRDefault="00CC24B5" w:rsidP="00CC24B5">
            <w:pPr>
              <w:spacing w:before="40" w:after="40" w:line="240" w:lineRule="auto"/>
              <w:jc w:val="center"/>
              <w:rPr>
                <w:rFonts w:ascii="Arial" w:eastAsia="Times New Roman" w:hAnsi="Arial" w:cs="Arial"/>
                <w:sz w:val="20"/>
                <w:szCs w:val="20"/>
              </w:rPr>
            </w:pPr>
            <w:r w:rsidRPr="00CC24B5">
              <w:rPr>
                <w:rFonts w:ascii="Calibri" w:eastAsia="Calibri" w:hAnsi="Calibri" w:cs="Calibri"/>
                <w:sz w:val="20"/>
                <w:szCs w:val="20"/>
              </w:rPr>
              <w:t>49</w:t>
            </w:r>
          </w:p>
        </w:tc>
        <w:tc>
          <w:tcPr>
            <w:tcW w:w="1300" w:type="dxa"/>
            <w:tcBorders>
              <w:top w:val="nil"/>
              <w:left w:val="nil"/>
              <w:bottom w:val="single" w:sz="4" w:space="0" w:color="BFBFBF"/>
              <w:right w:val="single" w:sz="4" w:space="0" w:color="BFBFBF"/>
            </w:tcBorders>
            <w:shd w:val="clear" w:color="000000" w:fill="EBF3FB"/>
            <w:vAlign w:val="center"/>
            <w:hideMark/>
          </w:tcPr>
          <w:p w:rsidR="00CC24B5" w:rsidRPr="00CC24B5" w:rsidRDefault="00CC24B5" w:rsidP="00CC24B5">
            <w:pPr>
              <w:spacing w:before="40" w:after="40" w:line="240" w:lineRule="auto"/>
              <w:jc w:val="center"/>
              <w:rPr>
                <w:rFonts w:ascii="Arial" w:eastAsia="Times New Roman" w:hAnsi="Arial" w:cs="Arial"/>
                <w:sz w:val="20"/>
                <w:szCs w:val="20"/>
              </w:rPr>
            </w:pPr>
            <w:r w:rsidRPr="00CC24B5">
              <w:rPr>
                <w:rFonts w:ascii="Calibri" w:eastAsia="Calibri" w:hAnsi="Calibri" w:cs="Calibri"/>
                <w:sz w:val="20"/>
                <w:szCs w:val="20"/>
              </w:rPr>
              <w:t>0</w:t>
            </w:r>
          </w:p>
        </w:tc>
        <w:tc>
          <w:tcPr>
            <w:tcW w:w="1300" w:type="dxa"/>
            <w:tcBorders>
              <w:top w:val="nil"/>
              <w:left w:val="nil"/>
              <w:bottom w:val="single" w:sz="4" w:space="0" w:color="BFBFBF"/>
              <w:right w:val="single" w:sz="4" w:space="0" w:color="BFBFBF"/>
            </w:tcBorders>
            <w:shd w:val="clear" w:color="000000" w:fill="EBF3FB"/>
            <w:vAlign w:val="center"/>
            <w:hideMark/>
          </w:tcPr>
          <w:p w:rsidR="00CC24B5" w:rsidRPr="00CC24B5" w:rsidRDefault="00CC24B5" w:rsidP="00CC24B5">
            <w:pPr>
              <w:spacing w:before="40" w:after="40" w:line="240" w:lineRule="auto"/>
              <w:jc w:val="center"/>
              <w:rPr>
                <w:rFonts w:ascii="Arial" w:eastAsia="Times New Roman" w:hAnsi="Arial" w:cs="Arial"/>
                <w:sz w:val="20"/>
                <w:szCs w:val="20"/>
              </w:rPr>
            </w:pPr>
            <w:r w:rsidRPr="00CC24B5">
              <w:rPr>
                <w:rFonts w:ascii="Calibri" w:eastAsia="Calibri" w:hAnsi="Calibri" w:cs="Calibri"/>
                <w:sz w:val="20"/>
                <w:szCs w:val="20"/>
              </w:rPr>
              <w:t>0</w:t>
            </w:r>
          </w:p>
        </w:tc>
      </w:tr>
      <w:tr w:rsidR="00CC24B5" w:rsidRPr="00CC24B5" w:rsidTr="00CC24B5">
        <w:trPr>
          <w:trHeight w:val="288"/>
        </w:trPr>
        <w:tc>
          <w:tcPr>
            <w:tcW w:w="2693" w:type="dxa"/>
            <w:tcBorders>
              <w:top w:val="nil"/>
              <w:left w:val="single" w:sz="4" w:space="0" w:color="BFBFBF"/>
              <w:bottom w:val="single" w:sz="4" w:space="0" w:color="BFBFBF"/>
              <w:right w:val="single" w:sz="4" w:space="0" w:color="BFBFBF"/>
            </w:tcBorders>
            <w:vAlign w:val="center"/>
            <w:hideMark/>
          </w:tcPr>
          <w:p w:rsidR="00CC24B5" w:rsidRPr="00CC24B5" w:rsidRDefault="00CC24B5" w:rsidP="00CC24B5">
            <w:pPr>
              <w:spacing w:before="40" w:after="40" w:line="240" w:lineRule="auto"/>
              <w:rPr>
                <w:rFonts w:ascii="Arial" w:eastAsia="Times New Roman" w:hAnsi="Arial" w:cs="Arial"/>
                <w:sz w:val="20"/>
                <w:szCs w:val="20"/>
              </w:rPr>
            </w:pPr>
            <w:r w:rsidRPr="00CC24B5">
              <w:rPr>
                <w:rFonts w:ascii="Calibri" w:eastAsia="Calibri" w:hAnsi="Calibri" w:cs="Calibri"/>
                <w:sz w:val="20"/>
                <w:szCs w:val="20"/>
              </w:rPr>
              <w:t xml:space="preserve">2. Intreruperi tranzitorii </w:t>
            </w:r>
          </w:p>
        </w:tc>
        <w:tc>
          <w:tcPr>
            <w:tcW w:w="1520" w:type="dxa"/>
            <w:tcBorders>
              <w:top w:val="nil"/>
              <w:left w:val="nil"/>
              <w:bottom w:val="single" w:sz="4" w:space="0" w:color="BFBFBF"/>
              <w:right w:val="single" w:sz="4" w:space="0" w:color="BFBFBF"/>
            </w:tcBorders>
            <w:vAlign w:val="center"/>
            <w:hideMark/>
          </w:tcPr>
          <w:p w:rsidR="00CC24B5" w:rsidRPr="00CC24B5" w:rsidRDefault="00CC24B5" w:rsidP="00CC24B5">
            <w:pPr>
              <w:spacing w:before="40" w:after="40" w:line="240" w:lineRule="auto"/>
              <w:jc w:val="center"/>
              <w:rPr>
                <w:rFonts w:ascii="Arial" w:eastAsia="Times New Roman" w:hAnsi="Arial" w:cs="Arial"/>
                <w:b/>
                <w:bCs/>
                <w:sz w:val="20"/>
                <w:szCs w:val="20"/>
              </w:rPr>
            </w:pPr>
            <w:r w:rsidRPr="00CC24B5">
              <w:rPr>
                <w:rFonts w:ascii="Calibri" w:eastAsia="Calibri" w:hAnsi="Calibri" w:cs="Calibri"/>
                <w:b/>
                <w:bCs/>
                <w:sz w:val="20"/>
                <w:szCs w:val="20"/>
              </w:rPr>
              <w:t>10</w:t>
            </w:r>
          </w:p>
        </w:tc>
        <w:tc>
          <w:tcPr>
            <w:tcW w:w="1300" w:type="dxa"/>
            <w:tcBorders>
              <w:top w:val="nil"/>
              <w:left w:val="nil"/>
              <w:bottom w:val="single" w:sz="4" w:space="0" w:color="BFBFBF"/>
              <w:right w:val="single" w:sz="4" w:space="0" w:color="BFBFBF"/>
            </w:tcBorders>
            <w:vAlign w:val="center"/>
            <w:hideMark/>
          </w:tcPr>
          <w:p w:rsidR="00CC24B5" w:rsidRPr="00CC24B5" w:rsidRDefault="00CC24B5" w:rsidP="00CC24B5">
            <w:pPr>
              <w:spacing w:before="40" w:after="40" w:line="240" w:lineRule="auto"/>
              <w:jc w:val="center"/>
              <w:rPr>
                <w:rFonts w:ascii="Arial" w:eastAsia="Times New Roman" w:hAnsi="Arial" w:cs="Arial"/>
                <w:sz w:val="20"/>
                <w:szCs w:val="20"/>
              </w:rPr>
            </w:pPr>
            <w:r w:rsidRPr="00CC24B5">
              <w:rPr>
                <w:rFonts w:ascii="Calibri" w:eastAsia="Calibri" w:hAnsi="Calibri" w:cs="Calibri"/>
                <w:sz w:val="20"/>
                <w:szCs w:val="20"/>
              </w:rPr>
              <w:t>0</w:t>
            </w:r>
          </w:p>
        </w:tc>
        <w:tc>
          <w:tcPr>
            <w:tcW w:w="1300" w:type="dxa"/>
            <w:tcBorders>
              <w:top w:val="nil"/>
              <w:left w:val="nil"/>
              <w:bottom w:val="single" w:sz="4" w:space="0" w:color="BFBFBF"/>
              <w:right w:val="single" w:sz="4" w:space="0" w:color="BFBFBF"/>
            </w:tcBorders>
            <w:vAlign w:val="center"/>
            <w:hideMark/>
          </w:tcPr>
          <w:p w:rsidR="00CC24B5" w:rsidRPr="00CC24B5" w:rsidRDefault="00CC24B5" w:rsidP="00CC24B5">
            <w:pPr>
              <w:spacing w:before="40" w:after="40" w:line="240" w:lineRule="auto"/>
              <w:jc w:val="center"/>
              <w:rPr>
                <w:rFonts w:ascii="Arial" w:eastAsia="Times New Roman" w:hAnsi="Arial" w:cs="Arial"/>
                <w:sz w:val="20"/>
                <w:szCs w:val="20"/>
              </w:rPr>
            </w:pPr>
            <w:r w:rsidRPr="00CC24B5">
              <w:rPr>
                <w:rFonts w:ascii="Calibri" w:eastAsia="Calibri" w:hAnsi="Calibri" w:cs="Calibri"/>
                <w:sz w:val="20"/>
                <w:szCs w:val="20"/>
              </w:rPr>
              <w:t>10</w:t>
            </w:r>
          </w:p>
        </w:tc>
        <w:tc>
          <w:tcPr>
            <w:tcW w:w="1300" w:type="dxa"/>
            <w:tcBorders>
              <w:top w:val="nil"/>
              <w:left w:val="nil"/>
              <w:bottom w:val="single" w:sz="4" w:space="0" w:color="BFBFBF"/>
              <w:right w:val="single" w:sz="4" w:space="0" w:color="BFBFBF"/>
            </w:tcBorders>
            <w:vAlign w:val="center"/>
            <w:hideMark/>
          </w:tcPr>
          <w:p w:rsidR="00CC24B5" w:rsidRPr="00CC24B5" w:rsidRDefault="00CC24B5" w:rsidP="00CC24B5">
            <w:pPr>
              <w:spacing w:before="40" w:after="40" w:line="240" w:lineRule="auto"/>
              <w:jc w:val="center"/>
              <w:rPr>
                <w:rFonts w:ascii="Arial" w:eastAsia="Times New Roman" w:hAnsi="Arial" w:cs="Arial"/>
                <w:sz w:val="20"/>
                <w:szCs w:val="20"/>
              </w:rPr>
            </w:pPr>
            <w:r w:rsidRPr="00CC24B5">
              <w:rPr>
                <w:rFonts w:ascii="Calibri" w:eastAsia="Calibri" w:hAnsi="Calibri" w:cs="Calibri"/>
                <w:sz w:val="20"/>
                <w:szCs w:val="20"/>
              </w:rPr>
              <w:t>0</w:t>
            </w:r>
          </w:p>
        </w:tc>
        <w:tc>
          <w:tcPr>
            <w:tcW w:w="1300" w:type="dxa"/>
            <w:tcBorders>
              <w:top w:val="nil"/>
              <w:left w:val="nil"/>
              <w:bottom w:val="single" w:sz="4" w:space="0" w:color="BFBFBF"/>
              <w:right w:val="single" w:sz="4" w:space="0" w:color="BFBFBF"/>
            </w:tcBorders>
            <w:vAlign w:val="center"/>
            <w:hideMark/>
          </w:tcPr>
          <w:p w:rsidR="00CC24B5" w:rsidRPr="00CC24B5" w:rsidRDefault="00CC24B5" w:rsidP="00CC24B5">
            <w:pPr>
              <w:spacing w:before="40" w:after="40" w:line="240" w:lineRule="auto"/>
              <w:jc w:val="center"/>
              <w:rPr>
                <w:rFonts w:ascii="Arial" w:eastAsia="Times New Roman" w:hAnsi="Arial" w:cs="Arial"/>
                <w:sz w:val="20"/>
                <w:szCs w:val="20"/>
              </w:rPr>
            </w:pPr>
            <w:r w:rsidRPr="00CC24B5">
              <w:rPr>
                <w:rFonts w:ascii="Calibri" w:eastAsia="Calibri" w:hAnsi="Calibri" w:cs="Calibri"/>
                <w:sz w:val="20"/>
                <w:szCs w:val="20"/>
              </w:rPr>
              <w:t>0</w:t>
            </w:r>
          </w:p>
        </w:tc>
      </w:tr>
      <w:tr w:rsidR="00CC24B5" w:rsidRPr="00CC24B5" w:rsidTr="00CC24B5">
        <w:trPr>
          <w:trHeight w:val="288"/>
        </w:trPr>
        <w:tc>
          <w:tcPr>
            <w:tcW w:w="2693" w:type="dxa"/>
            <w:tcBorders>
              <w:top w:val="nil"/>
              <w:left w:val="single" w:sz="4" w:space="0" w:color="BFBFBF"/>
              <w:bottom w:val="single" w:sz="4" w:space="0" w:color="BFBFBF"/>
              <w:right w:val="single" w:sz="4" w:space="0" w:color="BFBFBF"/>
            </w:tcBorders>
            <w:shd w:val="clear" w:color="000000" w:fill="EBF3FB"/>
            <w:vAlign w:val="center"/>
            <w:hideMark/>
          </w:tcPr>
          <w:p w:rsidR="00CC24B5" w:rsidRPr="00CC24B5" w:rsidRDefault="00CC24B5" w:rsidP="00CC24B5">
            <w:pPr>
              <w:spacing w:before="40" w:after="40" w:line="240" w:lineRule="auto"/>
              <w:rPr>
                <w:rFonts w:ascii="Arial" w:eastAsia="Times New Roman" w:hAnsi="Arial" w:cs="Arial"/>
                <w:sz w:val="20"/>
                <w:szCs w:val="20"/>
              </w:rPr>
            </w:pPr>
            <w:r w:rsidRPr="00CC24B5">
              <w:rPr>
                <w:rFonts w:ascii="Calibri" w:eastAsia="Calibri" w:hAnsi="Calibri" w:cs="Calibri"/>
                <w:sz w:val="20"/>
                <w:szCs w:val="20"/>
              </w:rPr>
              <w:t xml:space="preserve">2. Intreruperi lungi </w:t>
            </w:r>
          </w:p>
        </w:tc>
        <w:tc>
          <w:tcPr>
            <w:tcW w:w="1520" w:type="dxa"/>
            <w:tcBorders>
              <w:top w:val="nil"/>
              <w:left w:val="nil"/>
              <w:bottom w:val="single" w:sz="4" w:space="0" w:color="BFBFBF"/>
              <w:right w:val="single" w:sz="4" w:space="0" w:color="BFBFBF"/>
            </w:tcBorders>
            <w:shd w:val="clear" w:color="000000" w:fill="EBF3FB"/>
            <w:vAlign w:val="center"/>
            <w:hideMark/>
          </w:tcPr>
          <w:p w:rsidR="00CC24B5" w:rsidRPr="00CC24B5" w:rsidRDefault="00CC24B5" w:rsidP="00CC24B5">
            <w:pPr>
              <w:spacing w:before="40" w:after="40" w:line="240" w:lineRule="auto"/>
              <w:jc w:val="center"/>
              <w:rPr>
                <w:rFonts w:ascii="Arial" w:eastAsia="Times New Roman" w:hAnsi="Arial" w:cs="Arial"/>
                <w:b/>
                <w:bCs/>
                <w:sz w:val="20"/>
                <w:szCs w:val="20"/>
              </w:rPr>
            </w:pPr>
            <w:r w:rsidRPr="00CC24B5">
              <w:rPr>
                <w:rFonts w:ascii="Calibri" w:eastAsia="Calibri" w:hAnsi="Calibri" w:cs="Calibri"/>
                <w:b/>
                <w:bCs/>
                <w:sz w:val="20"/>
                <w:szCs w:val="20"/>
              </w:rPr>
              <w:t>1645</w:t>
            </w:r>
          </w:p>
        </w:tc>
        <w:tc>
          <w:tcPr>
            <w:tcW w:w="1300" w:type="dxa"/>
            <w:tcBorders>
              <w:top w:val="nil"/>
              <w:left w:val="nil"/>
              <w:bottom w:val="single" w:sz="4" w:space="0" w:color="BFBFBF"/>
              <w:right w:val="single" w:sz="4" w:space="0" w:color="BFBFBF"/>
            </w:tcBorders>
            <w:shd w:val="clear" w:color="000000" w:fill="EBF3FB"/>
            <w:vAlign w:val="center"/>
            <w:hideMark/>
          </w:tcPr>
          <w:p w:rsidR="00CC24B5" w:rsidRPr="00CC24B5" w:rsidRDefault="00CC24B5" w:rsidP="00CC24B5">
            <w:pPr>
              <w:spacing w:before="40" w:after="40" w:line="240" w:lineRule="auto"/>
              <w:jc w:val="center"/>
              <w:rPr>
                <w:rFonts w:ascii="Arial" w:eastAsia="Times New Roman" w:hAnsi="Arial" w:cs="Arial"/>
                <w:sz w:val="20"/>
                <w:szCs w:val="20"/>
              </w:rPr>
            </w:pPr>
            <w:r w:rsidRPr="00CC24B5">
              <w:rPr>
                <w:rFonts w:ascii="Calibri" w:eastAsia="Calibri" w:hAnsi="Calibri" w:cs="Calibri"/>
                <w:sz w:val="20"/>
                <w:szCs w:val="20"/>
              </w:rPr>
              <w:t>20</w:t>
            </w:r>
          </w:p>
        </w:tc>
        <w:tc>
          <w:tcPr>
            <w:tcW w:w="1300" w:type="dxa"/>
            <w:tcBorders>
              <w:top w:val="nil"/>
              <w:left w:val="nil"/>
              <w:bottom w:val="single" w:sz="4" w:space="0" w:color="BFBFBF"/>
              <w:right w:val="single" w:sz="4" w:space="0" w:color="BFBFBF"/>
            </w:tcBorders>
            <w:shd w:val="clear" w:color="000000" w:fill="EBF3FB"/>
            <w:vAlign w:val="center"/>
            <w:hideMark/>
          </w:tcPr>
          <w:p w:rsidR="00CC24B5" w:rsidRPr="00CC24B5" w:rsidRDefault="00CC24B5" w:rsidP="00CC24B5">
            <w:pPr>
              <w:spacing w:before="40" w:after="40" w:line="240" w:lineRule="auto"/>
              <w:jc w:val="center"/>
              <w:rPr>
                <w:rFonts w:ascii="Arial" w:eastAsia="Times New Roman" w:hAnsi="Arial" w:cs="Arial"/>
                <w:sz w:val="20"/>
                <w:szCs w:val="20"/>
              </w:rPr>
            </w:pPr>
            <w:r w:rsidRPr="00CC24B5">
              <w:rPr>
                <w:rFonts w:ascii="Calibri" w:eastAsia="Calibri" w:hAnsi="Calibri" w:cs="Calibri"/>
                <w:sz w:val="20"/>
                <w:szCs w:val="20"/>
              </w:rPr>
              <w:t>543</w:t>
            </w:r>
          </w:p>
        </w:tc>
        <w:tc>
          <w:tcPr>
            <w:tcW w:w="1300" w:type="dxa"/>
            <w:tcBorders>
              <w:top w:val="nil"/>
              <w:left w:val="nil"/>
              <w:bottom w:val="single" w:sz="4" w:space="0" w:color="BFBFBF"/>
              <w:right w:val="single" w:sz="4" w:space="0" w:color="BFBFBF"/>
            </w:tcBorders>
            <w:shd w:val="clear" w:color="000000" w:fill="EBF3FB"/>
            <w:vAlign w:val="center"/>
            <w:hideMark/>
          </w:tcPr>
          <w:p w:rsidR="00CC24B5" w:rsidRPr="00CC24B5" w:rsidRDefault="00CC24B5" w:rsidP="00CC24B5">
            <w:pPr>
              <w:spacing w:before="40" w:after="40" w:line="240" w:lineRule="auto"/>
              <w:jc w:val="center"/>
              <w:rPr>
                <w:rFonts w:ascii="Arial" w:eastAsia="Times New Roman" w:hAnsi="Arial" w:cs="Arial"/>
                <w:sz w:val="20"/>
                <w:szCs w:val="20"/>
              </w:rPr>
            </w:pPr>
            <w:r w:rsidRPr="00CC24B5">
              <w:rPr>
                <w:rFonts w:ascii="Calibri" w:eastAsia="Calibri" w:hAnsi="Calibri" w:cs="Calibri"/>
                <w:sz w:val="20"/>
                <w:szCs w:val="20"/>
              </w:rPr>
              <w:t>557</w:t>
            </w:r>
          </w:p>
        </w:tc>
        <w:tc>
          <w:tcPr>
            <w:tcW w:w="1300" w:type="dxa"/>
            <w:tcBorders>
              <w:top w:val="nil"/>
              <w:left w:val="nil"/>
              <w:bottom w:val="single" w:sz="4" w:space="0" w:color="BFBFBF"/>
              <w:right w:val="single" w:sz="4" w:space="0" w:color="BFBFBF"/>
            </w:tcBorders>
            <w:shd w:val="clear" w:color="000000" w:fill="EBF3FB"/>
            <w:vAlign w:val="center"/>
            <w:hideMark/>
          </w:tcPr>
          <w:p w:rsidR="00CC24B5" w:rsidRPr="00CC24B5" w:rsidRDefault="00CC24B5" w:rsidP="00CC24B5">
            <w:pPr>
              <w:spacing w:before="40" w:after="40" w:line="240" w:lineRule="auto"/>
              <w:jc w:val="center"/>
              <w:rPr>
                <w:rFonts w:ascii="Arial" w:eastAsia="Times New Roman" w:hAnsi="Arial" w:cs="Arial"/>
                <w:sz w:val="20"/>
                <w:szCs w:val="20"/>
              </w:rPr>
            </w:pPr>
            <w:r w:rsidRPr="00CC24B5">
              <w:rPr>
                <w:rFonts w:ascii="Calibri" w:eastAsia="Calibri" w:hAnsi="Calibri" w:cs="Calibri"/>
                <w:sz w:val="20"/>
                <w:szCs w:val="20"/>
              </w:rPr>
              <w:t>525</w:t>
            </w:r>
          </w:p>
        </w:tc>
      </w:tr>
      <w:tr w:rsidR="00CC24B5" w:rsidRPr="00CC24B5" w:rsidTr="00CC24B5">
        <w:trPr>
          <w:trHeight w:val="288"/>
        </w:trPr>
        <w:tc>
          <w:tcPr>
            <w:tcW w:w="2693" w:type="dxa"/>
            <w:tcBorders>
              <w:top w:val="nil"/>
              <w:left w:val="single" w:sz="4" w:space="0" w:color="BFBFBF"/>
              <w:bottom w:val="single" w:sz="4" w:space="0" w:color="BFBFBF"/>
              <w:right w:val="single" w:sz="4" w:space="0" w:color="BFBFBF"/>
            </w:tcBorders>
            <w:vAlign w:val="center"/>
            <w:hideMark/>
          </w:tcPr>
          <w:p w:rsidR="00CC24B5" w:rsidRPr="00CC24B5" w:rsidRDefault="00CC24B5" w:rsidP="00CC24B5">
            <w:pPr>
              <w:spacing w:before="40" w:after="40" w:line="240" w:lineRule="auto"/>
              <w:rPr>
                <w:rFonts w:ascii="Arial" w:eastAsia="Times New Roman" w:hAnsi="Arial" w:cs="Arial"/>
                <w:sz w:val="20"/>
                <w:szCs w:val="20"/>
              </w:rPr>
            </w:pPr>
            <w:r w:rsidRPr="00CC24B5">
              <w:rPr>
                <w:rFonts w:ascii="Calibri" w:eastAsia="Calibri" w:hAnsi="Calibri" w:cs="Calibri"/>
                <w:sz w:val="20"/>
                <w:szCs w:val="20"/>
              </w:rPr>
              <w:t xml:space="preserve">4. Flicker </w:t>
            </w:r>
          </w:p>
        </w:tc>
        <w:tc>
          <w:tcPr>
            <w:tcW w:w="1520" w:type="dxa"/>
            <w:tcBorders>
              <w:top w:val="nil"/>
              <w:left w:val="nil"/>
              <w:bottom w:val="single" w:sz="4" w:space="0" w:color="BFBFBF"/>
              <w:right w:val="single" w:sz="4" w:space="0" w:color="BFBFBF"/>
            </w:tcBorders>
            <w:vAlign w:val="center"/>
            <w:hideMark/>
          </w:tcPr>
          <w:p w:rsidR="00CC24B5" w:rsidRPr="00CC24B5" w:rsidRDefault="00CC24B5" w:rsidP="00CC24B5">
            <w:pPr>
              <w:spacing w:before="40" w:after="40" w:line="240" w:lineRule="auto"/>
              <w:jc w:val="center"/>
              <w:rPr>
                <w:rFonts w:ascii="Arial" w:eastAsia="Times New Roman" w:hAnsi="Arial" w:cs="Arial"/>
                <w:b/>
                <w:bCs/>
                <w:sz w:val="20"/>
                <w:szCs w:val="20"/>
              </w:rPr>
            </w:pPr>
            <w:r w:rsidRPr="00CC24B5">
              <w:rPr>
                <w:rFonts w:ascii="Calibri" w:eastAsia="Calibri" w:hAnsi="Calibri" w:cs="Calibri"/>
                <w:b/>
                <w:bCs/>
                <w:sz w:val="20"/>
                <w:szCs w:val="20"/>
              </w:rPr>
              <w:t>67</w:t>
            </w:r>
          </w:p>
        </w:tc>
        <w:tc>
          <w:tcPr>
            <w:tcW w:w="1300" w:type="dxa"/>
            <w:tcBorders>
              <w:top w:val="nil"/>
              <w:left w:val="nil"/>
              <w:bottom w:val="single" w:sz="4" w:space="0" w:color="BFBFBF"/>
              <w:right w:val="single" w:sz="4" w:space="0" w:color="BFBFBF"/>
            </w:tcBorders>
            <w:vAlign w:val="center"/>
            <w:hideMark/>
          </w:tcPr>
          <w:p w:rsidR="00CC24B5" w:rsidRPr="00CC24B5" w:rsidRDefault="00CC24B5" w:rsidP="00CC24B5">
            <w:pPr>
              <w:spacing w:before="40" w:after="40" w:line="240" w:lineRule="auto"/>
              <w:jc w:val="center"/>
              <w:rPr>
                <w:rFonts w:ascii="Arial" w:eastAsia="Times New Roman" w:hAnsi="Arial" w:cs="Arial"/>
                <w:sz w:val="20"/>
                <w:szCs w:val="20"/>
              </w:rPr>
            </w:pPr>
            <w:r w:rsidRPr="00CC24B5">
              <w:rPr>
                <w:rFonts w:ascii="Calibri" w:eastAsia="Calibri" w:hAnsi="Calibri" w:cs="Calibri"/>
                <w:sz w:val="20"/>
                <w:szCs w:val="20"/>
              </w:rPr>
              <w:t>12</w:t>
            </w:r>
          </w:p>
        </w:tc>
        <w:tc>
          <w:tcPr>
            <w:tcW w:w="1300" w:type="dxa"/>
            <w:tcBorders>
              <w:top w:val="nil"/>
              <w:left w:val="nil"/>
              <w:bottom w:val="single" w:sz="4" w:space="0" w:color="BFBFBF"/>
              <w:right w:val="single" w:sz="4" w:space="0" w:color="BFBFBF"/>
            </w:tcBorders>
            <w:vAlign w:val="center"/>
            <w:hideMark/>
          </w:tcPr>
          <w:p w:rsidR="00CC24B5" w:rsidRPr="00CC24B5" w:rsidRDefault="00CC24B5" w:rsidP="00CC24B5">
            <w:pPr>
              <w:spacing w:before="40" w:after="40" w:line="240" w:lineRule="auto"/>
              <w:jc w:val="center"/>
              <w:rPr>
                <w:rFonts w:ascii="Arial" w:eastAsia="Times New Roman" w:hAnsi="Arial" w:cs="Arial"/>
                <w:sz w:val="20"/>
                <w:szCs w:val="20"/>
              </w:rPr>
            </w:pPr>
            <w:r w:rsidRPr="00CC24B5">
              <w:rPr>
                <w:rFonts w:ascii="Calibri" w:eastAsia="Calibri" w:hAnsi="Calibri" w:cs="Calibri"/>
                <w:sz w:val="20"/>
                <w:szCs w:val="20"/>
              </w:rPr>
              <w:t>55</w:t>
            </w:r>
          </w:p>
        </w:tc>
        <w:tc>
          <w:tcPr>
            <w:tcW w:w="1300" w:type="dxa"/>
            <w:tcBorders>
              <w:top w:val="nil"/>
              <w:left w:val="nil"/>
              <w:bottom w:val="single" w:sz="4" w:space="0" w:color="BFBFBF"/>
              <w:right w:val="single" w:sz="4" w:space="0" w:color="BFBFBF"/>
            </w:tcBorders>
            <w:vAlign w:val="center"/>
            <w:hideMark/>
          </w:tcPr>
          <w:p w:rsidR="00CC24B5" w:rsidRPr="00CC24B5" w:rsidRDefault="00CC24B5" w:rsidP="00CC24B5">
            <w:pPr>
              <w:spacing w:before="40" w:after="40" w:line="240" w:lineRule="auto"/>
              <w:jc w:val="center"/>
              <w:rPr>
                <w:rFonts w:ascii="Arial" w:eastAsia="Times New Roman" w:hAnsi="Arial" w:cs="Arial"/>
                <w:sz w:val="20"/>
                <w:szCs w:val="20"/>
              </w:rPr>
            </w:pPr>
            <w:r w:rsidRPr="00CC24B5">
              <w:rPr>
                <w:rFonts w:ascii="Calibri" w:eastAsia="Calibri" w:hAnsi="Calibri" w:cs="Calibri"/>
                <w:sz w:val="20"/>
                <w:szCs w:val="20"/>
              </w:rPr>
              <w:t>0</w:t>
            </w:r>
          </w:p>
        </w:tc>
        <w:tc>
          <w:tcPr>
            <w:tcW w:w="1300" w:type="dxa"/>
            <w:tcBorders>
              <w:top w:val="nil"/>
              <w:left w:val="nil"/>
              <w:bottom w:val="single" w:sz="4" w:space="0" w:color="BFBFBF"/>
              <w:right w:val="single" w:sz="4" w:space="0" w:color="BFBFBF"/>
            </w:tcBorders>
            <w:vAlign w:val="center"/>
            <w:hideMark/>
          </w:tcPr>
          <w:p w:rsidR="00CC24B5" w:rsidRPr="00CC24B5" w:rsidRDefault="00CC24B5" w:rsidP="00CC24B5">
            <w:pPr>
              <w:spacing w:before="40" w:after="40" w:line="240" w:lineRule="auto"/>
              <w:jc w:val="center"/>
              <w:rPr>
                <w:rFonts w:ascii="Arial" w:eastAsia="Times New Roman" w:hAnsi="Arial" w:cs="Arial"/>
                <w:sz w:val="20"/>
                <w:szCs w:val="20"/>
              </w:rPr>
            </w:pPr>
            <w:r w:rsidRPr="00CC24B5">
              <w:rPr>
                <w:rFonts w:ascii="Calibri" w:eastAsia="Calibri" w:hAnsi="Calibri" w:cs="Calibri"/>
                <w:sz w:val="20"/>
                <w:szCs w:val="20"/>
              </w:rPr>
              <w:t>0</w:t>
            </w:r>
          </w:p>
        </w:tc>
      </w:tr>
      <w:tr w:rsidR="00CC24B5" w:rsidRPr="00CC24B5" w:rsidTr="00CC24B5">
        <w:trPr>
          <w:trHeight w:val="288"/>
        </w:trPr>
        <w:tc>
          <w:tcPr>
            <w:tcW w:w="2693" w:type="dxa"/>
            <w:tcBorders>
              <w:top w:val="nil"/>
              <w:left w:val="single" w:sz="4" w:space="0" w:color="BFBFBF"/>
              <w:bottom w:val="single" w:sz="4" w:space="0" w:color="BFBFBF"/>
              <w:right w:val="single" w:sz="4" w:space="0" w:color="BFBFBF"/>
            </w:tcBorders>
            <w:shd w:val="clear" w:color="000000" w:fill="EBF3FB"/>
            <w:vAlign w:val="center"/>
            <w:hideMark/>
          </w:tcPr>
          <w:p w:rsidR="00CC24B5" w:rsidRPr="00CC24B5" w:rsidRDefault="00CC24B5" w:rsidP="00CC24B5">
            <w:pPr>
              <w:spacing w:before="40" w:after="40" w:line="240" w:lineRule="auto"/>
              <w:rPr>
                <w:rFonts w:ascii="Arial" w:eastAsia="Times New Roman" w:hAnsi="Arial" w:cs="Arial"/>
                <w:sz w:val="20"/>
                <w:szCs w:val="20"/>
              </w:rPr>
            </w:pPr>
            <w:r w:rsidRPr="00CC24B5">
              <w:rPr>
                <w:rFonts w:ascii="Calibri" w:eastAsia="Calibri" w:hAnsi="Calibri" w:cs="Calibri"/>
                <w:sz w:val="20"/>
                <w:szCs w:val="20"/>
              </w:rPr>
              <w:t xml:space="preserve">5. Armonici </w:t>
            </w:r>
          </w:p>
        </w:tc>
        <w:tc>
          <w:tcPr>
            <w:tcW w:w="1520" w:type="dxa"/>
            <w:tcBorders>
              <w:top w:val="nil"/>
              <w:left w:val="nil"/>
              <w:bottom w:val="single" w:sz="4" w:space="0" w:color="BFBFBF"/>
              <w:right w:val="single" w:sz="4" w:space="0" w:color="BFBFBF"/>
            </w:tcBorders>
            <w:shd w:val="clear" w:color="000000" w:fill="EBF3FB"/>
            <w:vAlign w:val="center"/>
            <w:hideMark/>
          </w:tcPr>
          <w:p w:rsidR="00CC24B5" w:rsidRPr="00CC24B5" w:rsidRDefault="00CC24B5" w:rsidP="00CC24B5">
            <w:pPr>
              <w:spacing w:before="40" w:after="40" w:line="240" w:lineRule="auto"/>
              <w:jc w:val="center"/>
              <w:rPr>
                <w:rFonts w:ascii="Arial" w:eastAsia="Times New Roman" w:hAnsi="Arial" w:cs="Arial"/>
                <w:b/>
                <w:bCs/>
                <w:sz w:val="20"/>
                <w:szCs w:val="20"/>
              </w:rPr>
            </w:pPr>
            <w:r w:rsidRPr="00CC24B5">
              <w:rPr>
                <w:rFonts w:ascii="Calibri" w:eastAsia="Calibri" w:hAnsi="Calibri" w:cs="Calibri"/>
                <w:b/>
                <w:bCs/>
                <w:sz w:val="20"/>
                <w:szCs w:val="20"/>
              </w:rPr>
              <w:t>113</w:t>
            </w:r>
          </w:p>
        </w:tc>
        <w:tc>
          <w:tcPr>
            <w:tcW w:w="1300" w:type="dxa"/>
            <w:tcBorders>
              <w:top w:val="nil"/>
              <w:left w:val="nil"/>
              <w:bottom w:val="single" w:sz="4" w:space="0" w:color="BFBFBF"/>
              <w:right w:val="single" w:sz="4" w:space="0" w:color="BFBFBF"/>
            </w:tcBorders>
            <w:shd w:val="clear" w:color="000000" w:fill="EBF3FB"/>
            <w:vAlign w:val="center"/>
            <w:hideMark/>
          </w:tcPr>
          <w:p w:rsidR="00CC24B5" w:rsidRPr="00CC24B5" w:rsidRDefault="00CC24B5" w:rsidP="00CC24B5">
            <w:pPr>
              <w:spacing w:before="40" w:after="40" w:line="240" w:lineRule="auto"/>
              <w:jc w:val="center"/>
              <w:rPr>
                <w:rFonts w:ascii="Arial" w:eastAsia="Times New Roman" w:hAnsi="Arial" w:cs="Arial"/>
                <w:sz w:val="20"/>
                <w:szCs w:val="20"/>
              </w:rPr>
            </w:pPr>
            <w:r w:rsidRPr="00CC24B5">
              <w:rPr>
                <w:rFonts w:ascii="Calibri" w:eastAsia="Calibri" w:hAnsi="Calibri" w:cs="Calibri"/>
                <w:sz w:val="20"/>
                <w:szCs w:val="20"/>
              </w:rPr>
              <w:t>0</w:t>
            </w:r>
          </w:p>
        </w:tc>
        <w:tc>
          <w:tcPr>
            <w:tcW w:w="1300" w:type="dxa"/>
            <w:tcBorders>
              <w:top w:val="nil"/>
              <w:left w:val="nil"/>
              <w:bottom w:val="single" w:sz="4" w:space="0" w:color="BFBFBF"/>
              <w:right w:val="single" w:sz="4" w:space="0" w:color="BFBFBF"/>
            </w:tcBorders>
            <w:shd w:val="clear" w:color="000000" w:fill="EBF3FB"/>
            <w:vAlign w:val="center"/>
            <w:hideMark/>
          </w:tcPr>
          <w:p w:rsidR="00CC24B5" w:rsidRPr="00CC24B5" w:rsidRDefault="00CC24B5" w:rsidP="00CC24B5">
            <w:pPr>
              <w:spacing w:before="40" w:after="40" w:line="240" w:lineRule="auto"/>
              <w:jc w:val="center"/>
              <w:rPr>
                <w:rFonts w:ascii="Arial" w:eastAsia="Times New Roman" w:hAnsi="Arial" w:cs="Arial"/>
                <w:sz w:val="20"/>
                <w:szCs w:val="20"/>
              </w:rPr>
            </w:pPr>
            <w:r w:rsidRPr="00CC24B5">
              <w:rPr>
                <w:rFonts w:ascii="Calibri" w:eastAsia="Calibri" w:hAnsi="Calibri" w:cs="Calibri"/>
                <w:sz w:val="20"/>
                <w:szCs w:val="20"/>
              </w:rPr>
              <w:t>0</w:t>
            </w:r>
          </w:p>
        </w:tc>
        <w:tc>
          <w:tcPr>
            <w:tcW w:w="1300" w:type="dxa"/>
            <w:tcBorders>
              <w:top w:val="nil"/>
              <w:left w:val="nil"/>
              <w:bottom w:val="single" w:sz="4" w:space="0" w:color="BFBFBF"/>
              <w:right w:val="single" w:sz="4" w:space="0" w:color="BFBFBF"/>
            </w:tcBorders>
            <w:shd w:val="clear" w:color="000000" w:fill="EBF3FB"/>
            <w:vAlign w:val="center"/>
            <w:hideMark/>
          </w:tcPr>
          <w:p w:rsidR="00CC24B5" w:rsidRPr="00CC24B5" w:rsidRDefault="00CC24B5" w:rsidP="00CC24B5">
            <w:pPr>
              <w:spacing w:before="40" w:after="40" w:line="240" w:lineRule="auto"/>
              <w:jc w:val="center"/>
              <w:rPr>
                <w:rFonts w:ascii="Arial" w:eastAsia="Times New Roman" w:hAnsi="Arial" w:cs="Arial"/>
                <w:sz w:val="20"/>
                <w:szCs w:val="20"/>
              </w:rPr>
            </w:pPr>
            <w:r w:rsidRPr="00CC24B5">
              <w:rPr>
                <w:rFonts w:ascii="Calibri" w:eastAsia="Calibri" w:hAnsi="Calibri" w:cs="Calibri"/>
                <w:sz w:val="20"/>
                <w:szCs w:val="20"/>
              </w:rPr>
              <w:t>0</w:t>
            </w:r>
          </w:p>
        </w:tc>
        <w:tc>
          <w:tcPr>
            <w:tcW w:w="1300" w:type="dxa"/>
            <w:tcBorders>
              <w:top w:val="nil"/>
              <w:left w:val="nil"/>
              <w:bottom w:val="single" w:sz="4" w:space="0" w:color="BFBFBF"/>
              <w:right w:val="single" w:sz="4" w:space="0" w:color="BFBFBF"/>
            </w:tcBorders>
            <w:shd w:val="clear" w:color="000000" w:fill="EBF3FB"/>
            <w:vAlign w:val="center"/>
            <w:hideMark/>
          </w:tcPr>
          <w:p w:rsidR="00CC24B5" w:rsidRPr="00CC24B5" w:rsidRDefault="00CC24B5" w:rsidP="00CC24B5">
            <w:pPr>
              <w:spacing w:before="40" w:after="40" w:line="240" w:lineRule="auto"/>
              <w:jc w:val="center"/>
              <w:rPr>
                <w:rFonts w:ascii="Arial" w:eastAsia="Times New Roman" w:hAnsi="Arial" w:cs="Arial"/>
                <w:sz w:val="20"/>
                <w:szCs w:val="20"/>
              </w:rPr>
            </w:pPr>
            <w:r w:rsidRPr="00CC24B5">
              <w:rPr>
                <w:rFonts w:ascii="Calibri" w:eastAsia="Calibri" w:hAnsi="Calibri" w:cs="Calibri"/>
                <w:sz w:val="20"/>
                <w:szCs w:val="20"/>
              </w:rPr>
              <w:t>0</w:t>
            </w:r>
          </w:p>
        </w:tc>
      </w:tr>
      <w:tr w:rsidR="00CC24B5" w:rsidRPr="00CC24B5" w:rsidTr="00CC24B5">
        <w:trPr>
          <w:trHeight w:val="288"/>
        </w:trPr>
        <w:tc>
          <w:tcPr>
            <w:tcW w:w="2693" w:type="dxa"/>
            <w:tcBorders>
              <w:top w:val="nil"/>
              <w:left w:val="single" w:sz="4" w:space="0" w:color="BFBFBF"/>
              <w:bottom w:val="single" w:sz="4" w:space="0" w:color="BFBFBF"/>
              <w:right w:val="single" w:sz="4" w:space="0" w:color="BFBFBF"/>
            </w:tcBorders>
            <w:vAlign w:val="center"/>
            <w:hideMark/>
          </w:tcPr>
          <w:p w:rsidR="00CC24B5" w:rsidRPr="00CC24B5" w:rsidRDefault="00CC24B5" w:rsidP="00CC24B5">
            <w:pPr>
              <w:spacing w:before="40" w:after="40" w:line="240" w:lineRule="auto"/>
              <w:rPr>
                <w:rFonts w:ascii="Arial" w:eastAsia="Times New Roman" w:hAnsi="Arial" w:cs="Arial"/>
                <w:sz w:val="20"/>
                <w:szCs w:val="20"/>
              </w:rPr>
            </w:pPr>
            <w:r w:rsidRPr="00CC24B5">
              <w:rPr>
                <w:rFonts w:ascii="Calibri" w:eastAsia="Calibri" w:hAnsi="Calibri" w:cs="Calibri"/>
                <w:sz w:val="20"/>
                <w:szCs w:val="20"/>
              </w:rPr>
              <w:t xml:space="preserve">6. THD </w:t>
            </w:r>
          </w:p>
        </w:tc>
        <w:tc>
          <w:tcPr>
            <w:tcW w:w="1520" w:type="dxa"/>
            <w:tcBorders>
              <w:top w:val="nil"/>
              <w:left w:val="nil"/>
              <w:bottom w:val="single" w:sz="4" w:space="0" w:color="BFBFBF"/>
              <w:right w:val="single" w:sz="4" w:space="0" w:color="BFBFBF"/>
            </w:tcBorders>
            <w:vAlign w:val="center"/>
            <w:hideMark/>
          </w:tcPr>
          <w:p w:rsidR="00CC24B5" w:rsidRPr="00CC24B5" w:rsidRDefault="00CC24B5" w:rsidP="00CC24B5">
            <w:pPr>
              <w:spacing w:before="40" w:after="40" w:line="240" w:lineRule="auto"/>
              <w:jc w:val="center"/>
              <w:rPr>
                <w:rFonts w:ascii="Arial" w:eastAsia="Times New Roman" w:hAnsi="Arial" w:cs="Arial"/>
                <w:b/>
                <w:bCs/>
                <w:sz w:val="20"/>
                <w:szCs w:val="20"/>
              </w:rPr>
            </w:pPr>
            <w:r w:rsidRPr="00CC24B5">
              <w:rPr>
                <w:rFonts w:ascii="Calibri" w:eastAsia="Calibri" w:hAnsi="Calibri" w:cs="Calibri"/>
                <w:b/>
                <w:bCs/>
                <w:sz w:val="20"/>
                <w:szCs w:val="20"/>
              </w:rPr>
              <w:t>15</w:t>
            </w:r>
          </w:p>
        </w:tc>
        <w:tc>
          <w:tcPr>
            <w:tcW w:w="1300" w:type="dxa"/>
            <w:tcBorders>
              <w:top w:val="nil"/>
              <w:left w:val="nil"/>
              <w:bottom w:val="single" w:sz="4" w:space="0" w:color="BFBFBF"/>
              <w:right w:val="single" w:sz="4" w:space="0" w:color="BFBFBF"/>
            </w:tcBorders>
            <w:vAlign w:val="center"/>
            <w:hideMark/>
          </w:tcPr>
          <w:p w:rsidR="00CC24B5" w:rsidRPr="00CC24B5" w:rsidRDefault="00CC24B5" w:rsidP="00CC24B5">
            <w:pPr>
              <w:spacing w:before="40" w:after="40" w:line="240" w:lineRule="auto"/>
              <w:jc w:val="center"/>
              <w:rPr>
                <w:rFonts w:ascii="Arial" w:eastAsia="Times New Roman" w:hAnsi="Arial" w:cs="Arial"/>
                <w:sz w:val="20"/>
                <w:szCs w:val="20"/>
              </w:rPr>
            </w:pPr>
            <w:r w:rsidRPr="00CC24B5">
              <w:rPr>
                <w:rFonts w:ascii="Calibri" w:eastAsia="Calibri" w:hAnsi="Calibri" w:cs="Calibri"/>
                <w:sz w:val="20"/>
                <w:szCs w:val="20"/>
              </w:rPr>
              <w:t>0</w:t>
            </w:r>
          </w:p>
        </w:tc>
        <w:tc>
          <w:tcPr>
            <w:tcW w:w="1300" w:type="dxa"/>
            <w:tcBorders>
              <w:top w:val="nil"/>
              <w:left w:val="nil"/>
              <w:bottom w:val="single" w:sz="4" w:space="0" w:color="BFBFBF"/>
              <w:right w:val="single" w:sz="4" w:space="0" w:color="BFBFBF"/>
            </w:tcBorders>
            <w:vAlign w:val="center"/>
            <w:hideMark/>
          </w:tcPr>
          <w:p w:rsidR="00CC24B5" w:rsidRPr="00CC24B5" w:rsidRDefault="00CC24B5" w:rsidP="00CC24B5">
            <w:pPr>
              <w:spacing w:before="40" w:after="40" w:line="240" w:lineRule="auto"/>
              <w:jc w:val="center"/>
              <w:rPr>
                <w:rFonts w:ascii="Arial" w:eastAsia="Times New Roman" w:hAnsi="Arial" w:cs="Arial"/>
                <w:sz w:val="20"/>
                <w:szCs w:val="20"/>
              </w:rPr>
            </w:pPr>
            <w:r w:rsidRPr="00CC24B5">
              <w:rPr>
                <w:rFonts w:ascii="Calibri" w:eastAsia="Calibri" w:hAnsi="Calibri" w:cs="Calibri"/>
                <w:sz w:val="20"/>
                <w:szCs w:val="20"/>
              </w:rPr>
              <w:t>0</w:t>
            </w:r>
          </w:p>
        </w:tc>
        <w:tc>
          <w:tcPr>
            <w:tcW w:w="1300" w:type="dxa"/>
            <w:tcBorders>
              <w:top w:val="nil"/>
              <w:left w:val="nil"/>
              <w:bottom w:val="single" w:sz="4" w:space="0" w:color="BFBFBF"/>
              <w:right w:val="single" w:sz="4" w:space="0" w:color="BFBFBF"/>
            </w:tcBorders>
            <w:vAlign w:val="center"/>
            <w:hideMark/>
          </w:tcPr>
          <w:p w:rsidR="00CC24B5" w:rsidRPr="00CC24B5" w:rsidRDefault="00CC24B5" w:rsidP="00CC24B5">
            <w:pPr>
              <w:spacing w:before="40" w:after="40" w:line="240" w:lineRule="auto"/>
              <w:jc w:val="center"/>
              <w:rPr>
                <w:rFonts w:ascii="Arial" w:eastAsia="Times New Roman" w:hAnsi="Arial" w:cs="Arial"/>
                <w:sz w:val="20"/>
                <w:szCs w:val="20"/>
              </w:rPr>
            </w:pPr>
            <w:r w:rsidRPr="00CC24B5">
              <w:rPr>
                <w:rFonts w:ascii="Calibri" w:eastAsia="Calibri" w:hAnsi="Calibri" w:cs="Calibri"/>
                <w:sz w:val="20"/>
                <w:szCs w:val="20"/>
              </w:rPr>
              <w:t>0</w:t>
            </w:r>
          </w:p>
        </w:tc>
        <w:tc>
          <w:tcPr>
            <w:tcW w:w="1300" w:type="dxa"/>
            <w:tcBorders>
              <w:top w:val="nil"/>
              <w:left w:val="nil"/>
              <w:bottom w:val="single" w:sz="4" w:space="0" w:color="BFBFBF"/>
              <w:right w:val="single" w:sz="4" w:space="0" w:color="BFBFBF"/>
            </w:tcBorders>
            <w:vAlign w:val="center"/>
            <w:hideMark/>
          </w:tcPr>
          <w:p w:rsidR="00CC24B5" w:rsidRPr="00CC24B5" w:rsidRDefault="00CC24B5" w:rsidP="00CC24B5">
            <w:pPr>
              <w:spacing w:before="40" w:after="40" w:line="240" w:lineRule="auto"/>
              <w:jc w:val="center"/>
              <w:rPr>
                <w:rFonts w:ascii="Arial" w:eastAsia="Times New Roman" w:hAnsi="Arial" w:cs="Arial"/>
                <w:sz w:val="20"/>
                <w:szCs w:val="20"/>
              </w:rPr>
            </w:pPr>
            <w:r w:rsidRPr="00CC24B5">
              <w:rPr>
                <w:rFonts w:ascii="Calibri" w:eastAsia="Calibri" w:hAnsi="Calibri" w:cs="Calibri"/>
                <w:sz w:val="20"/>
                <w:szCs w:val="20"/>
              </w:rPr>
              <w:t>0</w:t>
            </w:r>
          </w:p>
        </w:tc>
      </w:tr>
      <w:tr w:rsidR="00CC24B5" w:rsidRPr="00CC24B5" w:rsidTr="00CC24B5">
        <w:trPr>
          <w:trHeight w:val="288"/>
        </w:trPr>
        <w:tc>
          <w:tcPr>
            <w:tcW w:w="2693" w:type="dxa"/>
            <w:tcBorders>
              <w:top w:val="nil"/>
              <w:left w:val="single" w:sz="4" w:space="0" w:color="BFBFBF"/>
              <w:bottom w:val="single" w:sz="4" w:space="0" w:color="BFBFBF"/>
              <w:right w:val="single" w:sz="4" w:space="0" w:color="BFBFBF"/>
            </w:tcBorders>
            <w:shd w:val="clear" w:color="000000" w:fill="EBF3FB"/>
            <w:vAlign w:val="center"/>
            <w:hideMark/>
          </w:tcPr>
          <w:p w:rsidR="00CC24B5" w:rsidRPr="00CC24B5" w:rsidRDefault="00CC24B5" w:rsidP="00CC24B5">
            <w:pPr>
              <w:spacing w:before="40" w:after="40" w:line="240" w:lineRule="auto"/>
              <w:rPr>
                <w:rFonts w:ascii="Arial" w:eastAsia="Times New Roman" w:hAnsi="Arial" w:cs="Arial"/>
                <w:sz w:val="20"/>
                <w:szCs w:val="20"/>
              </w:rPr>
            </w:pPr>
            <w:r w:rsidRPr="00CC24B5">
              <w:rPr>
                <w:rFonts w:ascii="Calibri" w:eastAsia="Calibri" w:hAnsi="Calibri" w:cs="Calibri"/>
                <w:sz w:val="20"/>
                <w:szCs w:val="20"/>
              </w:rPr>
              <w:t xml:space="preserve">7. Nesimetrie </w:t>
            </w:r>
          </w:p>
        </w:tc>
        <w:tc>
          <w:tcPr>
            <w:tcW w:w="1520" w:type="dxa"/>
            <w:tcBorders>
              <w:top w:val="nil"/>
              <w:left w:val="nil"/>
              <w:bottom w:val="single" w:sz="4" w:space="0" w:color="BFBFBF"/>
              <w:right w:val="single" w:sz="4" w:space="0" w:color="BFBFBF"/>
            </w:tcBorders>
            <w:shd w:val="clear" w:color="000000" w:fill="EBF3FB"/>
            <w:vAlign w:val="center"/>
            <w:hideMark/>
          </w:tcPr>
          <w:p w:rsidR="00CC24B5" w:rsidRPr="00CC24B5" w:rsidRDefault="00CC24B5" w:rsidP="00CC24B5">
            <w:pPr>
              <w:spacing w:before="40" w:after="40" w:line="240" w:lineRule="auto"/>
              <w:jc w:val="center"/>
              <w:rPr>
                <w:rFonts w:ascii="Arial" w:eastAsia="Times New Roman" w:hAnsi="Arial" w:cs="Arial"/>
                <w:b/>
                <w:bCs/>
                <w:sz w:val="20"/>
                <w:szCs w:val="20"/>
              </w:rPr>
            </w:pPr>
            <w:r w:rsidRPr="00CC24B5">
              <w:rPr>
                <w:rFonts w:ascii="Calibri" w:eastAsia="Calibri" w:hAnsi="Calibri" w:cs="Calibri"/>
                <w:b/>
                <w:bCs/>
                <w:sz w:val="20"/>
                <w:szCs w:val="20"/>
              </w:rPr>
              <w:t>73</w:t>
            </w:r>
          </w:p>
        </w:tc>
        <w:tc>
          <w:tcPr>
            <w:tcW w:w="1300" w:type="dxa"/>
            <w:tcBorders>
              <w:top w:val="nil"/>
              <w:left w:val="nil"/>
              <w:bottom w:val="single" w:sz="4" w:space="0" w:color="BFBFBF"/>
              <w:right w:val="single" w:sz="4" w:space="0" w:color="BFBFBF"/>
            </w:tcBorders>
            <w:shd w:val="clear" w:color="000000" w:fill="EBF3FB"/>
            <w:vAlign w:val="center"/>
            <w:hideMark/>
          </w:tcPr>
          <w:p w:rsidR="00CC24B5" w:rsidRPr="00CC24B5" w:rsidRDefault="00CC24B5" w:rsidP="00CC24B5">
            <w:pPr>
              <w:spacing w:before="40" w:after="40" w:line="240" w:lineRule="auto"/>
              <w:jc w:val="center"/>
              <w:rPr>
                <w:rFonts w:ascii="Arial" w:eastAsia="Times New Roman" w:hAnsi="Arial" w:cs="Arial"/>
                <w:sz w:val="20"/>
                <w:szCs w:val="20"/>
              </w:rPr>
            </w:pPr>
            <w:r w:rsidRPr="00CC24B5">
              <w:rPr>
                <w:rFonts w:ascii="Calibri" w:eastAsia="Calibri" w:hAnsi="Calibri" w:cs="Calibri"/>
                <w:sz w:val="20"/>
                <w:szCs w:val="20"/>
              </w:rPr>
              <w:t>20</w:t>
            </w:r>
          </w:p>
        </w:tc>
        <w:tc>
          <w:tcPr>
            <w:tcW w:w="1300" w:type="dxa"/>
            <w:tcBorders>
              <w:top w:val="nil"/>
              <w:left w:val="nil"/>
              <w:bottom w:val="single" w:sz="4" w:space="0" w:color="BFBFBF"/>
              <w:right w:val="single" w:sz="4" w:space="0" w:color="BFBFBF"/>
            </w:tcBorders>
            <w:shd w:val="clear" w:color="000000" w:fill="EBF3FB"/>
            <w:vAlign w:val="center"/>
            <w:hideMark/>
          </w:tcPr>
          <w:p w:rsidR="00CC24B5" w:rsidRPr="00CC24B5" w:rsidRDefault="00CC24B5" w:rsidP="00CC24B5">
            <w:pPr>
              <w:spacing w:before="40" w:after="40" w:line="240" w:lineRule="auto"/>
              <w:jc w:val="center"/>
              <w:rPr>
                <w:rFonts w:ascii="Arial" w:eastAsia="Times New Roman" w:hAnsi="Arial" w:cs="Arial"/>
                <w:sz w:val="20"/>
                <w:szCs w:val="20"/>
              </w:rPr>
            </w:pPr>
            <w:r w:rsidRPr="00CC24B5">
              <w:rPr>
                <w:rFonts w:ascii="Calibri" w:eastAsia="Calibri" w:hAnsi="Calibri" w:cs="Calibri"/>
                <w:sz w:val="20"/>
                <w:szCs w:val="20"/>
              </w:rPr>
              <w:t>53</w:t>
            </w:r>
          </w:p>
        </w:tc>
        <w:tc>
          <w:tcPr>
            <w:tcW w:w="1300" w:type="dxa"/>
            <w:tcBorders>
              <w:top w:val="nil"/>
              <w:left w:val="nil"/>
              <w:bottom w:val="single" w:sz="4" w:space="0" w:color="BFBFBF"/>
              <w:right w:val="single" w:sz="4" w:space="0" w:color="BFBFBF"/>
            </w:tcBorders>
            <w:shd w:val="clear" w:color="000000" w:fill="EBF3FB"/>
            <w:vAlign w:val="center"/>
            <w:hideMark/>
          </w:tcPr>
          <w:p w:rsidR="00CC24B5" w:rsidRPr="00CC24B5" w:rsidRDefault="00CC24B5" w:rsidP="00CC24B5">
            <w:pPr>
              <w:spacing w:before="40" w:after="40" w:line="240" w:lineRule="auto"/>
              <w:jc w:val="center"/>
              <w:rPr>
                <w:rFonts w:ascii="Arial" w:eastAsia="Times New Roman" w:hAnsi="Arial" w:cs="Arial"/>
                <w:sz w:val="20"/>
                <w:szCs w:val="20"/>
              </w:rPr>
            </w:pPr>
            <w:r w:rsidRPr="00CC24B5">
              <w:rPr>
                <w:rFonts w:ascii="Calibri" w:eastAsia="Calibri" w:hAnsi="Calibri" w:cs="Calibri"/>
                <w:sz w:val="20"/>
                <w:szCs w:val="20"/>
              </w:rPr>
              <w:t>0</w:t>
            </w:r>
          </w:p>
        </w:tc>
        <w:tc>
          <w:tcPr>
            <w:tcW w:w="1300" w:type="dxa"/>
            <w:tcBorders>
              <w:top w:val="nil"/>
              <w:left w:val="nil"/>
              <w:bottom w:val="single" w:sz="4" w:space="0" w:color="BFBFBF"/>
              <w:right w:val="single" w:sz="4" w:space="0" w:color="BFBFBF"/>
            </w:tcBorders>
            <w:shd w:val="clear" w:color="000000" w:fill="EBF3FB"/>
            <w:vAlign w:val="center"/>
            <w:hideMark/>
          </w:tcPr>
          <w:p w:rsidR="00CC24B5" w:rsidRPr="00CC24B5" w:rsidRDefault="00CC24B5" w:rsidP="00CC24B5">
            <w:pPr>
              <w:spacing w:before="40" w:after="40" w:line="240" w:lineRule="auto"/>
              <w:jc w:val="center"/>
              <w:rPr>
                <w:rFonts w:ascii="Arial" w:eastAsia="Times New Roman" w:hAnsi="Arial" w:cs="Arial"/>
                <w:sz w:val="20"/>
                <w:szCs w:val="20"/>
              </w:rPr>
            </w:pPr>
            <w:r w:rsidRPr="00CC24B5">
              <w:rPr>
                <w:rFonts w:ascii="Calibri" w:eastAsia="Calibri" w:hAnsi="Calibri" w:cs="Calibri"/>
                <w:sz w:val="20"/>
                <w:szCs w:val="20"/>
              </w:rPr>
              <w:t>0</w:t>
            </w:r>
          </w:p>
        </w:tc>
      </w:tr>
      <w:tr w:rsidR="00CC24B5" w:rsidRPr="00CC24B5" w:rsidTr="00CC24B5">
        <w:trPr>
          <w:trHeight w:val="288"/>
        </w:trPr>
        <w:tc>
          <w:tcPr>
            <w:tcW w:w="2693" w:type="dxa"/>
            <w:tcBorders>
              <w:top w:val="nil"/>
              <w:left w:val="single" w:sz="4" w:space="0" w:color="BFBFBF"/>
              <w:bottom w:val="single" w:sz="4" w:space="0" w:color="BFBFBF"/>
              <w:right w:val="single" w:sz="4" w:space="0" w:color="BFBFBF"/>
            </w:tcBorders>
            <w:vAlign w:val="center"/>
            <w:hideMark/>
          </w:tcPr>
          <w:p w:rsidR="00CC24B5" w:rsidRPr="00CC24B5" w:rsidRDefault="00CC24B5" w:rsidP="00CC24B5">
            <w:pPr>
              <w:spacing w:before="40" w:after="40" w:line="240" w:lineRule="auto"/>
              <w:rPr>
                <w:rFonts w:ascii="Arial" w:eastAsia="Times New Roman" w:hAnsi="Arial" w:cs="Arial"/>
                <w:sz w:val="20"/>
                <w:szCs w:val="20"/>
              </w:rPr>
            </w:pPr>
            <w:r w:rsidRPr="00CC24B5">
              <w:rPr>
                <w:rFonts w:ascii="Calibri" w:eastAsia="Calibri" w:hAnsi="Calibri" w:cs="Calibri"/>
                <w:sz w:val="20"/>
                <w:szCs w:val="20"/>
              </w:rPr>
              <w:t xml:space="preserve">8. Goluri tensiune </w:t>
            </w:r>
          </w:p>
        </w:tc>
        <w:tc>
          <w:tcPr>
            <w:tcW w:w="1520" w:type="dxa"/>
            <w:tcBorders>
              <w:top w:val="nil"/>
              <w:left w:val="nil"/>
              <w:bottom w:val="single" w:sz="4" w:space="0" w:color="BFBFBF"/>
              <w:right w:val="single" w:sz="4" w:space="0" w:color="BFBFBF"/>
            </w:tcBorders>
            <w:vAlign w:val="center"/>
            <w:hideMark/>
          </w:tcPr>
          <w:p w:rsidR="00CC24B5" w:rsidRPr="00CC24B5" w:rsidRDefault="00CC24B5" w:rsidP="00CC24B5">
            <w:pPr>
              <w:spacing w:before="40" w:after="40" w:line="240" w:lineRule="auto"/>
              <w:jc w:val="center"/>
              <w:rPr>
                <w:rFonts w:ascii="Arial" w:eastAsia="Times New Roman" w:hAnsi="Arial" w:cs="Arial"/>
                <w:b/>
                <w:bCs/>
                <w:sz w:val="20"/>
                <w:szCs w:val="20"/>
              </w:rPr>
            </w:pPr>
            <w:r w:rsidRPr="00CC24B5">
              <w:rPr>
                <w:rFonts w:ascii="Calibri" w:eastAsia="Calibri" w:hAnsi="Calibri" w:cs="Calibri"/>
                <w:b/>
                <w:bCs/>
                <w:sz w:val="20"/>
                <w:szCs w:val="20"/>
              </w:rPr>
              <w:t>3559</w:t>
            </w:r>
          </w:p>
        </w:tc>
        <w:tc>
          <w:tcPr>
            <w:tcW w:w="1300" w:type="dxa"/>
            <w:tcBorders>
              <w:top w:val="nil"/>
              <w:left w:val="nil"/>
              <w:bottom w:val="single" w:sz="4" w:space="0" w:color="BFBFBF"/>
              <w:right w:val="single" w:sz="4" w:space="0" w:color="BFBFBF"/>
            </w:tcBorders>
            <w:vAlign w:val="center"/>
            <w:hideMark/>
          </w:tcPr>
          <w:p w:rsidR="00CC24B5" w:rsidRPr="00CC24B5" w:rsidRDefault="00CC24B5" w:rsidP="00CC24B5">
            <w:pPr>
              <w:spacing w:before="40" w:after="40" w:line="240" w:lineRule="auto"/>
              <w:jc w:val="center"/>
              <w:rPr>
                <w:rFonts w:ascii="Arial" w:eastAsia="Times New Roman" w:hAnsi="Arial" w:cs="Arial"/>
                <w:sz w:val="20"/>
                <w:szCs w:val="20"/>
              </w:rPr>
            </w:pPr>
            <w:r w:rsidRPr="00CC24B5">
              <w:rPr>
                <w:rFonts w:ascii="Calibri" w:eastAsia="Calibri" w:hAnsi="Calibri" w:cs="Calibri"/>
                <w:sz w:val="20"/>
                <w:szCs w:val="20"/>
              </w:rPr>
              <w:t>10</w:t>
            </w:r>
          </w:p>
        </w:tc>
        <w:tc>
          <w:tcPr>
            <w:tcW w:w="1300" w:type="dxa"/>
            <w:tcBorders>
              <w:top w:val="nil"/>
              <w:left w:val="nil"/>
              <w:bottom w:val="single" w:sz="4" w:space="0" w:color="BFBFBF"/>
              <w:right w:val="single" w:sz="4" w:space="0" w:color="BFBFBF"/>
            </w:tcBorders>
            <w:vAlign w:val="center"/>
            <w:hideMark/>
          </w:tcPr>
          <w:p w:rsidR="00CC24B5" w:rsidRPr="00CC24B5" w:rsidRDefault="00CC24B5" w:rsidP="00CC24B5">
            <w:pPr>
              <w:spacing w:before="40" w:after="40" w:line="240" w:lineRule="auto"/>
              <w:jc w:val="center"/>
              <w:rPr>
                <w:rFonts w:ascii="Arial" w:eastAsia="Times New Roman" w:hAnsi="Arial" w:cs="Arial"/>
                <w:sz w:val="20"/>
                <w:szCs w:val="20"/>
              </w:rPr>
            </w:pPr>
            <w:r w:rsidRPr="00CC24B5">
              <w:rPr>
                <w:rFonts w:ascii="Calibri" w:eastAsia="Calibri" w:hAnsi="Calibri" w:cs="Calibri"/>
                <w:sz w:val="20"/>
                <w:szCs w:val="20"/>
              </w:rPr>
              <w:t>0</w:t>
            </w:r>
          </w:p>
        </w:tc>
        <w:tc>
          <w:tcPr>
            <w:tcW w:w="1300" w:type="dxa"/>
            <w:tcBorders>
              <w:top w:val="nil"/>
              <w:left w:val="nil"/>
              <w:bottom w:val="single" w:sz="4" w:space="0" w:color="BFBFBF"/>
              <w:right w:val="single" w:sz="4" w:space="0" w:color="BFBFBF"/>
            </w:tcBorders>
            <w:vAlign w:val="center"/>
            <w:hideMark/>
          </w:tcPr>
          <w:p w:rsidR="00CC24B5" w:rsidRPr="00CC24B5" w:rsidRDefault="00CC24B5" w:rsidP="00CC24B5">
            <w:pPr>
              <w:spacing w:before="40" w:after="40" w:line="240" w:lineRule="auto"/>
              <w:jc w:val="center"/>
              <w:rPr>
                <w:rFonts w:ascii="Arial" w:eastAsia="Times New Roman" w:hAnsi="Arial" w:cs="Arial"/>
                <w:sz w:val="20"/>
                <w:szCs w:val="20"/>
              </w:rPr>
            </w:pPr>
            <w:r w:rsidRPr="00CC24B5">
              <w:rPr>
                <w:rFonts w:ascii="Calibri" w:eastAsia="Calibri" w:hAnsi="Calibri" w:cs="Calibri"/>
                <w:sz w:val="20"/>
                <w:szCs w:val="20"/>
              </w:rPr>
              <w:t>0</w:t>
            </w:r>
          </w:p>
        </w:tc>
        <w:tc>
          <w:tcPr>
            <w:tcW w:w="1300" w:type="dxa"/>
            <w:tcBorders>
              <w:top w:val="nil"/>
              <w:left w:val="nil"/>
              <w:bottom w:val="single" w:sz="4" w:space="0" w:color="BFBFBF"/>
              <w:right w:val="single" w:sz="4" w:space="0" w:color="BFBFBF"/>
            </w:tcBorders>
            <w:vAlign w:val="center"/>
            <w:hideMark/>
          </w:tcPr>
          <w:p w:rsidR="00CC24B5" w:rsidRPr="00CC24B5" w:rsidRDefault="00CC24B5" w:rsidP="00CC24B5">
            <w:pPr>
              <w:spacing w:before="40" w:after="40" w:line="240" w:lineRule="auto"/>
              <w:jc w:val="center"/>
              <w:rPr>
                <w:rFonts w:ascii="Arial" w:eastAsia="Times New Roman" w:hAnsi="Arial" w:cs="Arial"/>
                <w:sz w:val="20"/>
                <w:szCs w:val="20"/>
              </w:rPr>
            </w:pPr>
            <w:r w:rsidRPr="00CC24B5">
              <w:rPr>
                <w:rFonts w:ascii="Calibri" w:eastAsia="Calibri" w:hAnsi="Calibri" w:cs="Calibri"/>
                <w:sz w:val="20"/>
                <w:szCs w:val="20"/>
              </w:rPr>
              <w:t>0</w:t>
            </w:r>
          </w:p>
        </w:tc>
      </w:tr>
      <w:tr w:rsidR="00CC24B5" w:rsidRPr="00CC24B5" w:rsidTr="00CC24B5">
        <w:trPr>
          <w:trHeight w:val="288"/>
        </w:trPr>
        <w:tc>
          <w:tcPr>
            <w:tcW w:w="2693" w:type="dxa"/>
            <w:tcBorders>
              <w:top w:val="nil"/>
              <w:left w:val="single" w:sz="4" w:space="0" w:color="BFBFBF"/>
              <w:bottom w:val="single" w:sz="4" w:space="0" w:color="BFBFBF"/>
              <w:right w:val="single" w:sz="4" w:space="0" w:color="BFBFBF"/>
            </w:tcBorders>
            <w:shd w:val="clear" w:color="000000" w:fill="EBF3FB"/>
            <w:vAlign w:val="center"/>
            <w:hideMark/>
          </w:tcPr>
          <w:p w:rsidR="00CC24B5" w:rsidRPr="00CC24B5" w:rsidRDefault="00CC24B5" w:rsidP="00CC24B5">
            <w:pPr>
              <w:spacing w:before="40" w:after="40" w:line="240" w:lineRule="auto"/>
              <w:rPr>
                <w:rFonts w:ascii="Arial" w:eastAsia="Times New Roman" w:hAnsi="Arial" w:cs="Arial"/>
                <w:sz w:val="20"/>
                <w:szCs w:val="20"/>
              </w:rPr>
            </w:pPr>
            <w:r w:rsidRPr="00CC24B5">
              <w:rPr>
                <w:rFonts w:ascii="Calibri" w:eastAsia="Calibri" w:hAnsi="Calibri" w:cs="Calibri"/>
                <w:sz w:val="20"/>
                <w:szCs w:val="20"/>
              </w:rPr>
              <w:t>9. Supratensiuni</w:t>
            </w:r>
          </w:p>
        </w:tc>
        <w:tc>
          <w:tcPr>
            <w:tcW w:w="1520" w:type="dxa"/>
            <w:tcBorders>
              <w:top w:val="nil"/>
              <w:left w:val="nil"/>
              <w:bottom w:val="single" w:sz="4" w:space="0" w:color="BFBFBF"/>
              <w:right w:val="single" w:sz="4" w:space="0" w:color="BFBFBF"/>
            </w:tcBorders>
            <w:shd w:val="clear" w:color="000000" w:fill="EBF3FB"/>
            <w:vAlign w:val="center"/>
            <w:hideMark/>
          </w:tcPr>
          <w:p w:rsidR="00CC24B5" w:rsidRPr="00CC24B5" w:rsidRDefault="00CC24B5" w:rsidP="00CC24B5">
            <w:pPr>
              <w:spacing w:before="40" w:after="40" w:line="240" w:lineRule="auto"/>
              <w:jc w:val="center"/>
              <w:rPr>
                <w:rFonts w:ascii="Arial" w:eastAsia="Times New Roman" w:hAnsi="Arial" w:cs="Arial"/>
                <w:b/>
                <w:bCs/>
                <w:sz w:val="20"/>
                <w:szCs w:val="20"/>
              </w:rPr>
            </w:pPr>
            <w:r w:rsidRPr="00CC24B5">
              <w:rPr>
                <w:rFonts w:ascii="Calibri" w:eastAsia="Calibri" w:hAnsi="Calibri" w:cs="Calibri"/>
                <w:b/>
                <w:bCs/>
                <w:sz w:val="20"/>
                <w:szCs w:val="20"/>
              </w:rPr>
              <w:t>805</w:t>
            </w:r>
          </w:p>
        </w:tc>
        <w:tc>
          <w:tcPr>
            <w:tcW w:w="1300" w:type="dxa"/>
            <w:tcBorders>
              <w:top w:val="nil"/>
              <w:left w:val="nil"/>
              <w:bottom w:val="single" w:sz="4" w:space="0" w:color="BFBFBF"/>
              <w:right w:val="single" w:sz="4" w:space="0" w:color="BFBFBF"/>
            </w:tcBorders>
            <w:shd w:val="clear" w:color="000000" w:fill="EBF3FB"/>
            <w:vAlign w:val="center"/>
            <w:hideMark/>
          </w:tcPr>
          <w:p w:rsidR="00CC24B5" w:rsidRPr="00CC24B5" w:rsidRDefault="00CC24B5" w:rsidP="00CC24B5">
            <w:pPr>
              <w:spacing w:before="40" w:after="40" w:line="240" w:lineRule="auto"/>
              <w:jc w:val="center"/>
              <w:rPr>
                <w:rFonts w:ascii="Arial" w:eastAsia="Times New Roman" w:hAnsi="Arial" w:cs="Arial"/>
                <w:sz w:val="20"/>
                <w:szCs w:val="20"/>
              </w:rPr>
            </w:pPr>
            <w:r w:rsidRPr="00CC24B5">
              <w:rPr>
                <w:rFonts w:ascii="Calibri" w:eastAsia="Calibri" w:hAnsi="Calibri" w:cs="Calibri"/>
                <w:sz w:val="20"/>
                <w:szCs w:val="20"/>
              </w:rPr>
              <w:t>15</w:t>
            </w:r>
          </w:p>
        </w:tc>
        <w:tc>
          <w:tcPr>
            <w:tcW w:w="1300" w:type="dxa"/>
            <w:tcBorders>
              <w:top w:val="nil"/>
              <w:left w:val="nil"/>
              <w:bottom w:val="single" w:sz="4" w:space="0" w:color="BFBFBF"/>
              <w:right w:val="single" w:sz="4" w:space="0" w:color="BFBFBF"/>
            </w:tcBorders>
            <w:shd w:val="clear" w:color="000000" w:fill="EBF3FB"/>
            <w:vAlign w:val="center"/>
            <w:hideMark/>
          </w:tcPr>
          <w:p w:rsidR="00CC24B5" w:rsidRPr="00CC24B5" w:rsidRDefault="00CC24B5" w:rsidP="00CC24B5">
            <w:pPr>
              <w:spacing w:before="40" w:after="40" w:line="240" w:lineRule="auto"/>
              <w:jc w:val="center"/>
              <w:rPr>
                <w:rFonts w:ascii="Arial" w:eastAsia="Times New Roman" w:hAnsi="Arial" w:cs="Arial"/>
                <w:sz w:val="20"/>
                <w:szCs w:val="20"/>
              </w:rPr>
            </w:pPr>
            <w:r w:rsidRPr="00CC24B5">
              <w:rPr>
                <w:rFonts w:ascii="Calibri" w:eastAsia="Calibri" w:hAnsi="Calibri" w:cs="Calibri"/>
                <w:sz w:val="20"/>
                <w:szCs w:val="20"/>
              </w:rPr>
              <w:t>0</w:t>
            </w:r>
          </w:p>
        </w:tc>
        <w:tc>
          <w:tcPr>
            <w:tcW w:w="1300" w:type="dxa"/>
            <w:tcBorders>
              <w:top w:val="nil"/>
              <w:left w:val="nil"/>
              <w:bottom w:val="single" w:sz="4" w:space="0" w:color="BFBFBF"/>
              <w:right w:val="single" w:sz="4" w:space="0" w:color="BFBFBF"/>
            </w:tcBorders>
            <w:shd w:val="clear" w:color="000000" w:fill="EBF3FB"/>
            <w:vAlign w:val="center"/>
            <w:hideMark/>
          </w:tcPr>
          <w:p w:rsidR="00CC24B5" w:rsidRPr="00CC24B5" w:rsidRDefault="00CC24B5" w:rsidP="00CC24B5">
            <w:pPr>
              <w:spacing w:before="40" w:after="40" w:line="240" w:lineRule="auto"/>
              <w:jc w:val="center"/>
              <w:rPr>
                <w:rFonts w:ascii="Arial" w:eastAsia="Times New Roman" w:hAnsi="Arial" w:cs="Arial"/>
                <w:sz w:val="20"/>
                <w:szCs w:val="20"/>
              </w:rPr>
            </w:pPr>
            <w:r w:rsidRPr="00CC24B5">
              <w:rPr>
                <w:rFonts w:ascii="Calibri" w:eastAsia="Calibri" w:hAnsi="Calibri" w:cs="Calibri"/>
                <w:sz w:val="20"/>
                <w:szCs w:val="20"/>
              </w:rPr>
              <w:t>0</w:t>
            </w:r>
          </w:p>
        </w:tc>
        <w:tc>
          <w:tcPr>
            <w:tcW w:w="1300" w:type="dxa"/>
            <w:tcBorders>
              <w:top w:val="nil"/>
              <w:left w:val="nil"/>
              <w:bottom w:val="single" w:sz="4" w:space="0" w:color="BFBFBF"/>
              <w:right w:val="single" w:sz="4" w:space="0" w:color="BFBFBF"/>
            </w:tcBorders>
            <w:shd w:val="clear" w:color="000000" w:fill="EBF3FB"/>
            <w:vAlign w:val="center"/>
            <w:hideMark/>
          </w:tcPr>
          <w:p w:rsidR="00CC24B5" w:rsidRPr="00CC24B5" w:rsidRDefault="00CC24B5" w:rsidP="00CC24B5">
            <w:pPr>
              <w:spacing w:before="40" w:after="40" w:line="240" w:lineRule="auto"/>
              <w:jc w:val="center"/>
              <w:rPr>
                <w:rFonts w:ascii="Arial" w:eastAsia="Times New Roman" w:hAnsi="Arial" w:cs="Arial"/>
                <w:sz w:val="20"/>
                <w:szCs w:val="20"/>
              </w:rPr>
            </w:pPr>
            <w:r w:rsidRPr="00CC24B5">
              <w:rPr>
                <w:rFonts w:ascii="Calibri" w:eastAsia="Calibri" w:hAnsi="Calibri" w:cs="Calibri"/>
                <w:sz w:val="20"/>
                <w:szCs w:val="20"/>
              </w:rPr>
              <w:t>0</w:t>
            </w:r>
          </w:p>
        </w:tc>
      </w:tr>
      <w:tr w:rsidR="00CC24B5" w:rsidRPr="00CC24B5" w:rsidTr="00CC24B5">
        <w:trPr>
          <w:trHeight w:val="288"/>
        </w:trPr>
        <w:tc>
          <w:tcPr>
            <w:tcW w:w="2693" w:type="dxa"/>
            <w:tcBorders>
              <w:top w:val="nil"/>
              <w:left w:val="single" w:sz="4" w:space="0" w:color="BFBFBF"/>
              <w:bottom w:val="nil"/>
              <w:right w:val="single" w:sz="4" w:space="0" w:color="BFBFBF"/>
            </w:tcBorders>
            <w:noWrap/>
            <w:vAlign w:val="bottom"/>
            <w:hideMark/>
          </w:tcPr>
          <w:p w:rsidR="00CC24B5" w:rsidRPr="00CC24B5" w:rsidRDefault="00CC24B5" w:rsidP="00CC24B5">
            <w:pPr>
              <w:spacing w:before="40" w:after="40" w:line="240" w:lineRule="auto"/>
              <w:rPr>
                <w:rFonts w:ascii="Arial" w:eastAsia="Times New Roman" w:hAnsi="Arial" w:cs="Arial"/>
                <w:b/>
                <w:bCs/>
                <w:color w:val="1F4E79"/>
                <w:sz w:val="20"/>
                <w:szCs w:val="20"/>
              </w:rPr>
            </w:pPr>
            <w:r w:rsidRPr="00CC24B5">
              <w:rPr>
                <w:rFonts w:ascii="Calibri" w:eastAsia="Calibri" w:hAnsi="Calibri" w:cs="Calibri"/>
                <w:b/>
                <w:bCs/>
                <w:color w:val="1F4E79"/>
                <w:sz w:val="20"/>
                <w:szCs w:val="20"/>
              </w:rPr>
              <w:t>TOTAL posturi de transformare de analizat</w:t>
            </w:r>
          </w:p>
        </w:tc>
        <w:tc>
          <w:tcPr>
            <w:tcW w:w="1520" w:type="dxa"/>
            <w:tcBorders>
              <w:top w:val="nil"/>
              <w:left w:val="nil"/>
              <w:bottom w:val="nil"/>
              <w:right w:val="single" w:sz="4" w:space="0" w:color="BFBFBF"/>
            </w:tcBorders>
            <w:vAlign w:val="center"/>
            <w:hideMark/>
          </w:tcPr>
          <w:p w:rsidR="00CC24B5" w:rsidRPr="00CC24B5" w:rsidRDefault="00CC24B5" w:rsidP="00CC24B5">
            <w:pPr>
              <w:spacing w:before="40" w:after="40" w:line="240" w:lineRule="auto"/>
              <w:jc w:val="center"/>
              <w:rPr>
                <w:rFonts w:ascii="Arial" w:eastAsia="Times New Roman" w:hAnsi="Arial" w:cs="Arial"/>
                <w:b/>
                <w:bCs/>
                <w:color w:val="1F4E79"/>
                <w:sz w:val="20"/>
                <w:szCs w:val="20"/>
              </w:rPr>
            </w:pPr>
            <w:r w:rsidRPr="00CC24B5">
              <w:rPr>
                <w:rFonts w:ascii="Calibri" w:eastAsia="Calibri" w:hAnsi="Calibri" w:cs="Calibri"/>
                <w:b/>
                <w:bCs/>
                <w:color w:val="1F4E79"/>
                <w:sz w:val="20"/>
                <w:szCs w:val="20"/>
              </w:rPr>
              <w:t> </w:t>
            </w:r>
          </w:p>
        </w:tc>
        <w:tc>
          <w:tcPr>
            <w:tcW w:w="1300" w:type="dxa"/>
            <w:tcBorders>
              <w:top w:val="nil"/>
              <w:left w:val="nil"/>
              <w:bottom w:val="nil"/>
              <w:right w:val="single" w:sz="4" w:space="0" w:color="BFBFBF"/>
            </w:tcBorders>
            <w:vAlign w:val="center"/>
            <w:hideMark/>
          </w:tcPr>
          <w:p w:rsidR="00CC24B5" w:rsidRPr="00CC24B5" w:rsidRDefault="00CC24B5" w:rsidP="00CC24B5">
            <w:pPr>
              <w:spacing w:before="40" w:after="40" w:line="240" w:lineRule="auto"/>
              <w:jc w:val="center"/>
              <w:rPr>
                <w:rFonts w:ascii="Arial" w:eastAsia="Times New Roman" w:hAnsi="Arial" w:cs="Arial"/>
                <w:b/>
                <w:bCs/>
                <w:sz w:val="20"/>
                <w:szCs w:val="20"/>
              </w:rPr>
            </w:pPr>
            <w:r w:rsidRPr="00CC24B5">
              <w:rPr>
                <w:rFonts w:ascii="Calibri" w:eastAsia="Calibri" w:hAnsi="Calibri" w:cs="Calibri"/>
                <w:b/>
                <w:bCs/>
                <w:sz w:val="20"/>
                <w:szCs w:val="20"/>
              </w:rPr>
              <w:t>177</w:t>
            </w:r>
          </w:p>
        </w:tc>
        <w:tc>
          <w:tcPr>
            <w:tcW w:w="1300" w:type="dxa"/>
            <w:tcBorders>
              <w:top w:val="nil"/>
              <w:left w:val="nil"/>
              <w:bottom w:val="nil"/>
              <w:right w:val="single" w:sz="4" w:space="0" w:color="BFBFBF"/>
            </w:tcBorders>
            <w:vAlign w:val="center"/>
            <w:hideMark/>
          </w:tcPr>
          <w:p w:rsidR="00CC24B5" w:rsidRPr="00CC24B5" w:rsidRDefault="00CC24B5" w:rsidP="00CC24B5">
            <w:pPr>
              <w:spacing w:before="40" w:after="40" w:line="240" w:lineRule="auto"/>
              <w:jc w:val="center"/>
              <w:rPr>
                <w:rFonts w:ascii="Arial" w:eastAsia="Times New Roman" w:hAnsi="Arial" w:cs="Arial"/>
                <w:b/>
                <w:bCs/>
                <w:sz w:val="20"/>
                <w:szCs w:val="20"/>
              </w:rPr>
            </w:pPr>
            <w:r w:rsidRPr="00CC24B5">
              <w:rPr>
                <w:rFonts w:ascii="Calibri" w:eastAsia="Calibri" w:hAnsi="Calibri" w:cs="Calibri"/>
                <w:b/>
                <w:bCs/>
                <w:sz w:val="20"/>
                <w:szCs w:val="20"/>
              </w:rPr>
              <w:t>1013</w:t>
            </w:r>
          </w:p>
        </w:tc>
        <w:tc>
          <w:tcPr>
            <w:tcW w:w="1300" w:type="dxa"/>
            <w:tcBorders>
              <w:top w:val="nil"/>
              <w:left w:val="nil"/>
              <w:bottom w:val="nil"/>
              <w:right w:val="single" w:sz="4" w:space="0" w:color="BFBFBF"/>
            </w:tcBorders>
            <w:vAlign w:val="center"/>
            <w:hideMark/>
          </w:tcPr>
          <w:p w:rsidR="00CC24B5" w:rsidRPr="00CC24B5" w:rsidRDefault="00CC24B5" w:rsidP="00CC24B5">
            <w:pPr>
              <w:spacing w:before="40" w:after="40" w:line="240" w:lineRule="auto"/>
              <w:jc w:val="center"/>
              <w:rPr>
                <w:rFonts w:ascii="Arial" w:eastAsia="Times New Roman" w:hAnsi="Arial" w:cs="Arial"/>
                <w:b/>
                <w:bCs/>
                <w:sz w:val="20"/>
                <w:szCs w:val="20"/>
              </w:rPr>
            </w:pPr>
            <w:r w:rsidRPr="00CC24B5">
              <w:rPr>
                <w:rFonts w:ascii="Calibri" w:eastAsia="Calibri" w:hAnsi="Calibri" w:cs="Calibri"/>
                <w:b/>
                <w:bCs/>
                <w:sz w:val="20"/>
                <w:szCs w:val="20"/>
              </w:rPr>
              <w:t>887</w:t>
            </w:r>
          </w:p>
        </w:tc>
        <w:tc>
          <w:tcPr>
            <w:tcW w:w="1300" w:type="dxa"/>
            <w:tcBorders>
              <w:top w:val="nil"/>
              <w:left w:val="nil"/>
              <w:bottom w:val="nil"/>
              <w:right w:val="single" w:sz="4" w:space="0" w:color="BFBFBF"/>
            </w:tcBorders>
            <w:vAlign w:val="center"/>
            <w:hideMark/>
          </w:tcPr>
          <w:p w:rsidR="00CC24B5" w:rsidRPr="00CC24B5" w:rsidRDefault="00CC24B5" w:rsidP="00CC24B5">
            <w:pPr>
              <w:spacing w:before="40" w:after="40" w:line="240" w:lineRule="auto"/>
              <w:jc w:val="center"/>
              <w:rPr>
                <w:rFonts w:ascii="Arial" w:eastAsia="Times New Roman" w:hAnsi="Arial" w:cs="Arial"/>
                <w:b/>
                <w:bCs/>
                <w:sz w:val="20"/>
                <w:szCs w:val="20"/>
              </w:rPr>
            </w:pPr>
            <w:r w:rsidRPr="00CC24B5">
              <w:rPr>
                <w:rFonts w:ascii="Calibri" w:eastAsia="Calibri" w:hAnsi="Calibri" w:cs="Calibri"/>
                <w:b/>
                <w:bCs/>
                <w:sz w:val="20"/>
                <w:szCs w:val="20"/>
              </w:rPr>
              <w:t>961</w:t>
            </w:r>
          </w:p>
        </w:tc>
      </w:tr>
      <w:tr w:rsidR="00CC24B5" w:rsidRPr="00CC24B5" w:rsidTr="00CC24B5">
        <w:trPr>
          <w:trHeight w:val="288"/>
        </w:trPr>
        <w:tc>
          <w:tcPr>
            <w:tcW w:w="2693" w:type="dxa"/>
            <w:tcBorders>
              <w:top w:val="nil"/>
              <w:left w:val="single" w:sz="4" w:space="0" w:color="BFBFBF"/>
              <w:bottom w:val="single" w:sz="4" w:space="0" w:color="BFBFBF"/>
              <w:right w:val="single" w:sz="4" w:space="0" w:color="BFBFBF"/>
            </w:tcBorders>
            <w:noWrap/>
            <w:vAlign w:val="bottom"/>
          </w:tcPr>
          <w:p w:rsidR="00CC24B5" w:rsidRPr="00CC24B5" w:rsidRDefault="00CC24B5" w:rsidP="00CC24B5">
            <w:pPr>
              <w:spacing w:before="40" w:after="40" w:line="240" w:lineRule="auto"/>
              <w:rPr>
                <w:rFonts w:ascii="Arial" w:eastAsia="Times New Roman" w:hAnsi="Arial" w:cs="Arial"/>
                <w:b/>
                <w:bCs/>
                <w:color w:val="1F4E79"/>
                <w:sz w:val="20"/>
                <w:szCs w:val="20"/>
              </w:rPr>
            </w:pPr>
          </w:p>
        </w:tc>
        <w:tc>
          <w:tcPr>
            <w:tcW w:w="1520" w:type="dxa"/>
            <w:tcBorders>
              <w:top w:val="nil"/>
              <w:left w:val="nil"/>
              <w:bottom w:val="single" w:sz="4" w:space="0" w:color="BFBFBF"/>
              <w:right w:val="single" w:sz="4" w:space="0" w:color="BFBFBF"/>
            </w:tcBorders>
            <w:vAlign w:val="center"/>
          </w:tcPr>
          <w:p w:rsidR="00CC24B5" w:rsidRPr="00CC24B5" w:rsidRDefault="00CC24B5" w:rsidP="00CC24B5">
            <w:pPr>
              <w:spacing w:before="40" w:after="40" w:line="240" w:lineRule="auto"/>
              <w:jc w:val="center"/>
              <w:rPr>
                <w:rFonts w:ascii="Arial" w:eastAsia="Times New Roman" w:hAnsi="Arial" w:cs="Arial"/>
                <w:b/>
                <w:bCs/>
                <w:color w:val="1F4E79"/>
                <w:sz w:val="20"/>
                <w:szCs w:val="20"/>
              </w:rPr>
            </w:pPr>
          </w:p>
        </w:tc>
        <w:tc>
          <w:tcPr>
            <w:tcW w:w="1300" w:type="dxa"/>
            <w:tcBorders>
              <w:top w:val="nil"/>
              <w:left w:val="nil"/>
              <w:bottom w:val="single" w:sz="4" w:space="0" w:color="BFBFBF"/>
              <w:right w:val="single" w:sz="4" w:space="0" w:color="BFBFBF"/>
            </w:tcBorders>
            <w:vAlign w:val="center"/>
          </w:tcPr>
          <w:p w:rsidR="00CC24B5" w:rsidRPr="00CC24B5" w:rsidRDefault="00CC24B5" w:rsidP="00CC24B5">
            <w:pPr>
              <w:spacing w:before="40" w:after="40" w:line="240" w:lineRule="auto"/>
              <w:jc w:val="center"/>
              <w:rPr>
                <w:rFonts w:ascii="Arial" w:eastAsia="Times New Roman" w:hAnsi="Arial" w:cs="Arial"/>
                <w:b/>
                <w:bCs/>
                <w:sz w:val="20"/>
                <w:szCs w:val="20"/>
              </w:rPr>
            </w:pPr>
          </w:p>
        </w:tc>
        <w:tc>
          <w:tcPr>
            <w:tcW w:w="1300" w:type="dxa"/>
            <w:tcBorders>
              <w:top w:val="nil"/>
              <w:left w:val="nil"/>
              <w:bottom w:val="single" w:sz="4" w:space="0" w:color="BFBFBF"/>
              <w:right w:val="single" w:sz="4" w:space="0" w:color="BFBFBF"/>
            </w:tcBorders>
            <w:vAlign w:val="center"/>
          </w:tcPr>
          <w:p w:rsidR="00CC24B5" w:rsidRPr="00CC24B5" w:rsidRDefault="00CC24B5" w:rsidP="00CC24B5">
            <w:pPr>
              <w:spacing w:before="40" w:after="40" w:line="240" w:lineRule="auto"/>
              <w:jc w:val="center"/>
              <w:rPr>
                <w:rFonts w:ascii="Arial" w:eastAsia="Times New Roman" w:hAnsi="Arial" w:cs="Arial"/>
                <w:b/>
                <w:bCs/>
                <w:sz w:val="20"/>
                <w:szCs w:val="20"/>
              </w:rPr>
            </w:pPr>
          </w:p>
        </w:tc>
        <w:tc>
          <w:tcPr>
            <w:tcW w:w="1300" w:type="dxa"/>
            <w:tcBorders>
              <w:top w:val="nil"/>
              <w:left w:val="nil"/>
              <w:bottom w:val="single" w:sz="4" w:space="0" w:color="BFBFBF"/>
              <w:right w:val="single" w:sz="4" w:space="0" w:color="BFBFBF"/>
            </w:tcBorders>
            <w:vAlign w:val="center"/>
          </w:tcPr>
          <w:p w:rsidR="00CC24B5" w:rsidRPr="00CC24B5" w:rsidRDefault="00CC24B5" w:rsidP="00CC24B5">
            <w:pPr>
              <w:spacing w:before="40" w:after="40" w:line="240" w:lineRule="auto"/>
              <w:jc w:val="center"/>
              <w:rPr>
                <w:rFonts w:ascii="Arial" w:eastAsia="Times New Roman" w:hAnsi="Arial" w:cs="Arial"/>
                <w:b/>
                <w:bCs/>
                <w:sz w:val="20"/>
                <w:szCs w:val="20"/>
              </w:rPr>
            </w:pPr>
          </w:p>
        </w:tc>
        <w:tc>
          <w:tcPr>
            <w:tcW w:w="1300" w:type="dxa"/>
            <w:tcBorders>
              <w:top w:val="nil"/>
              <w:left w:val="nil"/>
              <w:bottom w:val="single" w:sz="4" w:space="0" w:color="BFBFBF"/>
              <w:right w:val="single" w:sz="4" w:space="0" w:color="BFBFBF"/>
            </w:tcBorders>
            <w:vAlign w:val="center"/>
          </w:tcPr>
          <w:p w:rsidR="00CC24B5" w:rsidRPr="00CC24B5" w:rsidRDefault="00CC24B5" w:rsidP="00CC24B5">
            <w:pPr>
              <w:spacing w:before="40" w:after="40" w:line="240" w:lineRule="auto"/>
              <w:jc w:val="center"/>
              <w:rPr>
                <w:rFonts w:ascii="Arial" w:eastAsia="Times New Roman" w:hAnsi="Arial" w:cs="Arial"/>
                <w:b/>
                <w:bCs/>
                <w:sz w:val="20"/>
                <w:szCs w:val="20"/>
              </w:rPr>
            </w:pPr>
          </w:p>
        </w:tc>
      </w:tr>
      <w:bookmarkEnd w:id="17"/>
    </w:tbl>
    <w:p w:rsidR="00CC24B5" w:rsidRPr="00CC24B5" w:rsidRDefault="00CC24B5" w:rsidP="00CC24B5">
      <w:pPr>
        <w:spacing w:after="0" w:line="240" w:lineRule="auto"/>
        <w:rPr>
          <w:rFonts w:ascii="Arial" w:eastAsia="Arial" w:hAnsi="Arial" w:cs="Arial"/>
        </w:rPr>
      </w:pPr>
    </w:p>
    <w:p w:rsidR="00CC24B5" w:rsidRPr="00CC24B5" w:rsidRDefault="00CC24B5" w:rsidP="00CC24B5">
      <w:pPr>
        <w:spacing w:after="0" w:line="240" w:lineRule="auto"/>
        <w:rPr>
          <w:rFonts w:ascii="Arial" w:eastAsia="Arial" w:hAnsi="Arial" w:cs="Arial"/>
        </w:rPr>
      </w:pPr>
    </w:p>
    <w:p w:rsidR="00CC24B5" w:rsidRPr="00CC24B5" w:rsidRDefault="00CC24B5" w:rsidP="00CC24B5">
      <w:pPr>
        <w:pStyle w:val="Heading1"/>
        <w:rPr>
          <w:rFonts w:eastAsia="Arial"/>
        </w:rPr>
      </w:pPr>
      <w:r>
        <w:rPr>
          <w:rFonts w:eastAsia="Arial"/>
        </w:rPr>
        <w:t>4.Rețele Electrice Romania</w:t>
      </w:r>
    </w:p>
    <w:p w:rsidR="00CC24B5" w:rsidRPr="00CC24B5" w:rsidRDefault="00CC24B5" w:rsidP="00CC24B5">
      <w:pPr>
        <w:spacing w:after="0" w:line="240" w:lineRule="auto"/>
        <w:rPr>
          <w:rFonts w:ascii="Arial" w:eastAsia="Arial" w:hAnsi="Arial" w:cs="Arial"/>
        </w:rPr>
      </w:pPr>
    </w:p>
    <w:p w:rsidR="00CC24B5" w:rsidRPr="00CC24B5" w:rsidRDefault="00444076" w:rsidP="00CC24B5">
      <w:pPr>
        <w:spacing w:after="0" w:line="240" w:lineRule="auto"/>
        <w:rPr>
          <w:rFonts w:ascii="Arial" w:eastAsia="Arial" w:hAnsi="Arial" w:cs="Arial"/>
        </w:rPr>
      </w:pPr>
      <w:r>
        <w:rPr>
          <w:rFonts w:ascii="Arial" w:eastAsia="Arial" w:hAnsi="Arial" w:cs="Arial"/>
        </w:rPr>
        <w:t xml:space="preserve">Rețele Electrice Romania nu a transmis </w:t>
      </w:r>
      <w:r w:rsidR="00033F5A">
        <w:rPr>
          <w:rFonts w:ascii="Arial" w:eastAsia="Arial" w:hAnsi="Arial" w:cs="Arial"/>
        </w:rPr>
        <w:t xml:space="preserve">situația la cererea ANRE. </w:t>
      </w:r>
    </w:p>
    <w:p w:rsidR="00CC24B5" w:rsidRPr="00CC24B5" w:rsidRDefault="00CC24B5" w:rsidP="00CC24B5">
      <w:pPr>
        <w:spacing w:after="0" w:line="240" w:lineRule="auto"/>
        <w:rPr>
          <w:rFonts w:ascii="Arial" w:eastAsia="Arial" w:hAnsi="Arial" w:cs="Arial"/>
        </w:rPr>
      </w:pPr>
    </w:p>
    <w:p w:rsidR="00CC24B5" w:rsidRPr="00CC24B5" w:rsidRDefault="00CC24B5" w:rsidP="00CC24B5">
      <w:pPr>
        <w:spacing w:after="0" w:line="240" w:lineRule="auto"/>
        <w:rPr>
          <w:rFonts w:ascii="Arial" w:eastAsia="Arial" w:hAnsi="Arial" w:cs="Arial"/>
        </w:rPr>
      </w:pPr>
    </w:p>
    <w:p w:rsidR="00CC24B5" w:rsidRPr="00CC24B5" w:rsidRDefault="00CC24B5" w:rsidP="00CC24B5">
      <w:pPr>
        <w:spacing w:after="0" w:line="240" w:lineRule="auto"/>
        <w:rPr>
          <w:rFonts w:ascii="Arial" w:eastAsia="Arial" w:hAnsi="Arial" w:cs="Arial"/>
        </w:rPr>
      </w:pPr>
    </w:p>
    <w:p w:rsidR="00CC24B5" w:rsidRPr="00CC24B5" w:rsidRDefault="00CC24B5" w:rsidP="00CC24B5">
      <w:pPr>
        <w:spacing w:after="0" w:line="240" w:lineRule="auto"/>
        <w:rPr>
          <w:rFonts w:ascii="Arial" w:eastAsia="Arial" w:hAnsi="Arial" w:cs="Arial"/>
        </w:rPr>
      </w:pPr>
    </w:p>
    <w:p w:rsidR="00CC24B5" w:rsidRPr="00CC24B5" w:rsidRDefault="00CC24B5" w:rsidP="00CC24B5">
      <w:pPr>
        <w:spacing w:after="0" w:line="240" w:lineRule="auto"/>
        <w:rPr>
          <w:rFonts w:ascii="Arial" w:eastAsia="Arial" w:hAnsi="Arial" w:cs="Arial"/>
        </w:rPr>
      </w:pPr>
    </w:p>
    <w:p w:rsidR="00CC24B5" w:rsidRPr="00CC24B5" w:rsidRDefault="00CC24B5" w:rsidP="00CC24B5">
      <w:pPr>
        <w:spacing w:after="0" w:line="240" w:lineRule="auto"/>
        <w:ind w:left="709"/>
        <w:rPr>
          <w:rFonts w:ascii="Arial" w:eastAsia="Arial" w:hAnsi="Arial" w:cs="Arial"/>
        </w:rPr>
      </w:pPr>
    </w:p>
    <w:p w:rsidR="00CC24B5" w:rsidRPr="00CC24B5" w:rsidRDefault="00CC24B5" w:rsidP="00CC24B5">
      <w:pPr>
        <w:spacing w:after="0" w:line="240" w:lineRule="auto"/>
        <w:ind w:left="709"/>
        <w:rPr>
          <w:rFonts w:ascii="Arial" w:eastAsia="Arial" w:hAnsi="Arial" w:cs="Arial"/>
        </w:rPr>
      </w:pPr>
    </w:p>
    <w:p w:rsidR="00CC24B5" w:rsidRPr="00CC24B5" w:rsidRDefault="00CC24B5" w:rsidP="00CC24B5">
      <w:pPr>
        <w:rPr>
          <w:lang w:val="en-GB"/>
        </w:rPr>
      </w:pPr>
    </w:p>
    <w:p w:rsidR="00CC24B5" w:rsidRPr="00CC24B5" w:rsidRDefault="00CC24B5" w:rsidP="00CC24B5">
      <w:pPr>
        <w:rPr>
          <w:lang w:val="ro-RO"/>
        </w:rPr>
      </w:pPr>
    </w:p>
    <w:sectPr w:rsidR="00CC24B5" w:rsidRPr="00CC24B5" w:rsidSect="00931351">
      <w:headerReference w:type="default" r:id="rId31"/>
      <w:pgSz w:w="12240" w:h="15840"/>
      <w:pgMar w:top="1440" w:right="1440" w:bottom="1440" w:left="1440" w:header="576"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C24B5" w:rsidRDefault="00CC24B5" w:rsidP="00FA7761">
      <w:pPr>
        <w:spacing w:after="0" w:line="240" w:lineRule="auto"/>
      </w:pPr>
      <w:r>
        <w:separator/>
      </w:r>
    </w:p>
  </w:endnote>
  <w:endnote w:type="continuationSeparator" w:id="0">
    <w:p w:rsidR="00CC24B5" w:rsidRDefault="00CC24B5" w:rsidP="00FA776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altName w:val="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altName w:val="Courier New PSMT"/>
    <w:panose1 w:val="02070309020205020404"/>
    <w:charset w:val="00"/>
    <w:family w:val="modern"/>
    <w:pitch w:val="fixed"/>
    <w:sig w:usb0="E0002EFF" w:usb1="C0007843" w:usb2="00000009" w:usb3="00000000" w:csb0="000001FF" w:csb1="00000000"/>
  </w:font>
  <w:font w:name="Wingdings">
    <w:altName w:val="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altName w:val="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Symbol">
    <w:panose1 w:val="020B0502040204020203"/>
    <w:charset w:val="00"/>
    <w:family w:val="swiss"/>
    <w:pitch w:val="variable"/>
    <w:sig w:usb0="800001E3" w:usb1="1200FFEF" w:usb2="0004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C24B5" w:rsidRDefault="00CC24B5" w:rsidP="00FA7761">
      <w:pPr>
        <w:spacing w:after="0" w:line="240" w:lineRule="auto"/>
      </w:pPr>
      <w:r>
        <w:separator/>
      </w:r>
    </w:p>
  </w:footnote>
  <w:footnote w:type="continuationSeparator" w:id="0">
    <w:p w:rsidR="00CC24B5" w:rsidRDefault="00CC24B5" w:rsidP="00FA776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24B5" w:rsidRDefault="00CC24B5" w:rsidP="00931351">
    <w:pPr>
      <w:pStyle w:val="NormalWeb"/>
    </w:pPr>
    <w:r w:rsidRPr="00931351">
      <w:rPr>
        <w:sz w:val="28"/>
        <w:szCs w:val="28"/>
        <w:lang w:val="ro-RO"/>
      </w:rPr>
      <w:t xml:space="preserve">Anexa nr. 7 – Analiza </w:t>
    </w:r>
    <w:r>
      <w:rPr>
        <w:sz w:val="28"/>
        <w:szCs w:val="28"/>
        <w:lang w:val="ro-RO"/>
      </w:rPr>
      <w:t xml:space="preserve">datelor primare ale </w:t>
    </w:r>
    <w:r w:rsidRPr="00931351">
      <w:rPr>
        <w:sz w:val="28"/>
        <w:szCs w:val="28"/>
        <w:lang w:val="ro-RO"/>
      </w:rPr>
      <w:t xml:space="preserve">analizoarelor de calitate </w:t>
    </w:r>
    <w:r>
      <w:rPr>
        <w:sz w:val="28"/>
        <w:szCs w:val="28"/>
      </w:rPr>
      <w:t>montate</w:t>
    </w:r>
    <w:r w:rsidRPr="00931351">
      <w:rPr>
        <w:sz w:val="28"/>
        <w:szCs w:val="28"/>
      </w:rPr>
      <w:t xml:space="preserve"> în staţiile electrice şi în posturile de transformare monitorizate</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CF99A9E7"/>
    <w:multiLevelType w:val="hybridMultilevel"/>
    <w:tmpl w:val="A2BDE52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BCE21AD"/>
    <w:multiLevelType w:val="hybridMultilevel"/>
    <w:tmpl w:val="5B9493DA"/>
    <w:lvl w:ilvl="0" w:tplc="AA3EB640">
      <w:start w:val="1"/>
      <w:numFmt w:val="bullet"/>
      <w:lvlText w:val="•"/>
      <w:lvlJc w:val="left"/>
      <w:pPr>
        <w:ind w:left="720" w:hanging="360"/>
      </w:pPr>
    </w:lvl>
    <w:lvl w:ilvl="1" w:tplc="3E78055C">
      <w:numFmt w:val="decimal"/>
      <w:lvlText w:val=""/>
      <w:lvlJc w:val="left"/>
    </w:lvl>
    <w:lvl w:ilvl="2" w:tplc="009809C0">
      <w:numFmt w:val="decimal"/>
      <w:lvlText w:val=""/>
      <w:lvlJc w:val="left"/>
    </w:lvl>
    <w:lvl w:ilvl="3" w:tplc="7368E01E">
      <w:numFmt w:val="decimal"/>
      <w:lvlText w:val=""/>
      <w:lvlJc w:val="left"/>
    </w:lvl>
    <w:lvl w:ilvl="4" w:tplc="87CABC36">
      <w:numFmt w:val="decimal"/>
      <w:lvlText w:val=""/>
      <w:lvlJc w:val="left"/>
    </w:lvl>
    <w:lvl w:ilvl="5" w:tplc="E4F0879C">
      <w:numFmt w:val="decimal"/>
      <w:lvlText w:val=""/>
      <w:lvlJc w:val="left"/>
    </w:lvl>
    <w:lvl w:ilvl="6" w:tplc="E1B20A38">
      <w:numFmt w:val="decimal"/>
      <w:lvlText w:val=""/>
      <w:lvlJc w:val="left"/>
    </w:lvl>
    <w:lvl w:ilvl="7" w:tplc="7F86BF9C">
      <w:numFmt w:val="decimal"/>
      <w:lvlText w:val=""/>
      <w:lvlJc w:val="left"/>
    </w:lvl>
    <w:lvl w:ilvl="8" w:tplc="3CFE6AA6">
      <w:numFmt w:val="decimal"/>
      <w:lvlText w:val=""/>
      <w:lvlJc w:val="left"/>
    </w:lvl>
  </w:abstractNum>
  <w:abstractNum w:abstractNumId="2" w15:restartNumberingAfterBreak="0">
    <w:nsid w:val="28323C9A"/>
    <w:multiLevelType w:val="hybridMultilevel"/>
    <w:tmpl w:val="41F47CBE"/>
    <w:lvl w:ilvl="0" w:tplc="B4187E5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C7E720A"/>
    <w:multiLevelType w:val="hybridMultilevel"/>
    <w:tmpl w:val="C1A8E690"/>
    <w:lvl w:ilvl="0" w:tplc="F88CAB36">
      <w:start w:val="3"/>
      <w:numFmt w:val="bullet"/>
      <w:lvlText w:val="-"/>
      <w:lvlJc w:val="left"/>
      <w:pPr>
        <w:ind w:left="720" w:hanging="360"/>
      </w:pPr>
      <w:rPr>
        <w:rFonts w:ascii="Arial" w:eastAsia="Arial"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481470C4"/>
    <w:multiLevelType w:val="hybridMultilevel"/>
    <w:tmpl w:val="E4A64550"/>
    <w:lvl w:ilvl="0" w:tplc="7A36E9CE">
      <w:start w:val="1"/>
      <w:numFmt w:val="bullet"/>
      <w:lvlText w:val="•"/>
      <w:lvlJc w:val="left"/>
      <w:pPr>
        <w:ind w:left="720" w:hanging="360"/>
      </w:pPr>
    </w:lvl>
    <w:lvl w:ilvl="1" w:tplc="1AA697A6">
      <w:numFmt w:val="decimal"/>
      <w:lvlText w:val=""/>
      <w:lvlJc w:val="left"/>
    </w:lvl>
    <w:lvl w:ilvl="2" w:tplc="2520C1EE">
      <w:numFmt w:val="decimal"/>
      <w:lvlText w:val=""/>
      <w:lvlJc w:val="left"/>
    </w:lvl>
    <w:lvl w:ilvl="3" w:tplc="66704F00">
      <w:numFmt w:val="decimal"/>
      <w:lvlText w:val=""/>
      <w:lvlJc w:val="left"/>
    </w:lvl>
    <w:lvl w:ilvl="4" w:tplc="21A8AF2A">
      <w:numFmt w:val="decimal"/>
      <w:lvlText w:val=""/>
      <w:lvlJc w:val="left"/>
    </w:lvl>
    <w:lvl w:ilvl="5" w:tplc="85E2BCB0">
      <w:numFmt w:val="decimal"/>
      <w:lvlText w:val=""/>
      <w:lvlJc w:val="left"/>
    </w:lvl>
    <w:lvl w:ilvl="6" w:tplc="3508FA94">
      <w:numFmt w:val="decimal"/>
      <w:lvlText w:val=""/>
      <w:lvlJc w:val="left"/>
    </w:lvl>
    <w:lvl w:ilvl="7" w:tplc="902A28F4">
      <w:numFmt w:val="decimal"/>
      <w:lvlText w:val=""/>
      <w:lvlJc w:val="left"/>
    </w:lvl>
    <w:lvl w:ilvl="8" w:tplc="98A6C870">
      <w:numFmt w:val="decimal"/>
      <w:lvlText w:val=""/>
      <w:lvlJc w:val="left"/>
    </w:lvl>
  </w:abstractNum>
  <w:abstractNum w:abstractNumId="5" w15:restartNumberingAfterBreak="0">
    <w:nsid w:val="4CD25800"/>
    <w:multiLevelType w:val="hybridMultilevel"/>
    <w:tmpl w:val="0B42599C"/>
    <w:lvl w:ilvl="0" w:tplc="CEDC7272">
      <w:start w:val="2"/>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 w15:restartNumberingAfterBreak="0">
    <w:nsid w:val="546B3CE7"/>
    <w:multiLevelType w:val="hybridMultilevel"/>
    <w:tmpl w:val="10BE94AC"/>
    <w:lvl w:ilvl="0" w:tplc="FFFFFFFF">
      <w:start w:val="1"/>
      <w:numFmt w:val="ideographDigital"/>
      <w:lvlText w:val="•"/>
      <w:lvlJc w:val="left"/>
    </w:lvl>
    <w:lvl w:ilvl="1" w:tplc="04090001">
      <w:start w:val="1"/>
      <w:numFmt w:val="bullet"/>
      <w:lvlText w:val=""/>
      <w:lvlJc w:val="left"/>
      <w:rPr>
        <w:rFonts w:ascii="Symbol" w:hAnsi="Symbol" w:hint="default"/>
      </w:r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 w15:restartNumberingAfterBreak="0">
    <w:nsid w:val="5B017A2D"/>
    <w:multiLevelType w:val="hybridMultilevel"/>
    <w:tmpl w:val="0150B724"/>
    <w:lvl w:ilvl="0" w:tplc="78A4A994">
      <w:start w:val="3"/>
      <w:numFmt w:val="lowerLetter"/>
      <w:lvlText w:val="%1)"/>
      <w:lvlJc w:val="left"/>
      <w:pPr>
        <w:ind w:left="1440" w:hanging="360"/>
      </w:pPr>
      <w:rPr>
        <w:rFonts w:hint="default"/>
        <w:color w:val="00000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 w15:restartNumberingAfterBreak="0">
    <w:nsid w:val="6DB87B1E"/>
    <w:multiLevelType w:val="hybridMultilevel"/>
    <w:tmpl w:val="9404F7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70CB6A8D"/>
    <w:multiLevelType w:val="hybridMultilevel"/>
    <w:tmpl w:val="E1CAB052"/>
    <w:lvl w:ilvl="0" w:tplc="3BB27668">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 w15:restartNumberingAfterBreak="0">
    <w:nsid w:val="71D55B93"/>
    <w:multiLevelType w:val="hybridMultilevel"/>
    <w:tmpl w:val="CC767A42"/>
    <w:lvl w:ilvl="0" w:tplc="C9068684">
      <w:start w:val="1"/>
      <w:numFmt w:val="bullet"/>
      <w:lvlText w:val="•"/>
      <w:lvlJc w:val="left"/>
      <w:pPr>
        <w:ind w:left="720" w:hanging="360"/>
      </w:pPr>
    </w:lvl>
    <w:lvl w:ilvl="1" w:tplc="05C00822">
      <w:numFmt w:val="decimal"/>
      <w:lvlText w:val=""/>
      <w:lvlJc w:val="left"/>
    </w:lvl>
    <w:lvl w:ilvl="2" w:tplc="79BC871A">
      <w:numFmt w:val="decimal"/>
      <w:lvlText w:val=""/>
      <w:lvlJc w:val="left"/>
    </w:lvl>
    <w:lvl w:ilvl="3" w:tplc="685CF532">
      <w:numFmt w:val="decimal"/>
      <w:lvlText w:val=""/>
      <w:lvlJc w:val="left"/>
    </w:lvl>
    <w:lvl w:ilvl="4" w:tplc="35D46678">
      <w:numFmt w:val="decimal"/>
      <w:lvlText w:val=""/>
      <w:lvlJc w:val="left"/>
    </w:lvl>
    <w:lvl w:ilvl="5" w:tplc="A3F0C332">
      <w:numFmt w:val="decimal"/>
      <w:lvlText w:val=""/>
      <w:lvlJc w:val="left"/>
    </w:lvl>
    <w:lvl w:ilvl="6" w:tplc="F35C9D36">
      <w:numFmt w:val="decimal"/>
      <w:lvlText w:val=""/>
      <w:lvlJc w:val="left"/>
    </w:lvl>
    <w:lvl w:ilvl="7" w:tplc="C0483A92">
      <w:numFmt w:val="decimal"/>
      <w:lvlText w:val=""/>
      <w:lvlJc w:val="left"/>
    </w:lvl>
    <w:lvl w:ilvl="8" w:tplc="5FCEFD9C">
      <w:numFmt w:val="decimal"/>
      <w:lvlText w:val=""/>
      <w:lvlJc w:val="left"/>
    </w:lvl>
  </w:abstractNum>
  <w:abstractNum w:abstractNumId="11" w15:restartNumberingAfterBreak="0">
    <w:nsid w:val="73640BA4"/>
    <w:multiLevelType w:val="hybridMultilevel"/>
    <w:tmpl w:val="F28ECD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5922502"/>
    <w:multiLevelType w:val="multilevel"/>
    <w:tmpl w:val="04C659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7829C8F1"/>
    <w:multiLevelType w:val="hybridMultilevel"/>
    <w:tmpl w:val="D2F9EFA2"/>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4" w15:restartNumberingAfterBreak="0">
    <w:nsid w:val="79701A8A"/>
    <w:multiLevelType w:val="hybridMultilevel"/>
    <w:tmpl w:val="FEEA04A8"/>
    <w:lvl w:ilvl="0" w:tplc="A8C07DC8">
      <w:start w:val="6"/>
      <w:numFmt w:val="bullet"/>
      <w:lvlText w:val="-"/>
      <w:lvlJc w:val="left"/>
      <w:pPr>
        <w:ind w:left="720" w:hanging="360"/>
      </w:pPr>
      <w:rPr>
        <w:rFonts w:ascii="Arial" w:eastAsia="Arial"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7CDB2CBE"/>
    <w:multiLevelType w:val="hybridMultilevel"/>
    <w:tmpl w:val="519674CE"/>
    <w:lvl w:ilvl="0" w:tplc="4D7C04D2">
      <w:start w:val="1"/>
      <w:numFmt w:val="bullet"/>
      <w:lvlText w:val="-"/>
      <w:lvlJc w:val="left"/>
      <w:pPr>
        <w:ind w:left="1080" w:hanging="360"/>
      </w:pPr>
      <w:rPr>
        <w:rFonts w:ascii="Arial" w:eastAsia="Arial"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abstractNumId w:val="13"/>
  </w:num>
  <w:num w:numId="2">
    <w:abstractNumId w:val="0"/>
  </w:num>
  <w:num w:numId="3">
    <w:abstractNumId w:val="6"/>
  </w:num>
  <w:num w:numId="4">
    <w:abstractNumId w:val="8"/>
  </w:num>
  <w:num w:numId="5">
    <w:abstractNumId w:val="2"/>
  </w:num>
  <w:num w:numId="6">
    <w:abstractNumId w:val="11"/>
  </w:num>
  <w:num w:numId="7">
    <w:abstractNumId w:val="4"/>
    <w:lvlOverride w:ilvl="0">
      <w:startOverride w:val="1"/>
    </w:lvlOverride>
  </w:num>
  <w:num w:numId="8">
    <w:abstractNumId w:val="12"/>
  </w:num>
  <w:num w:numId="9">
    <w:abstractNumId w:val="15"/>
  </w:num>
  <w:num w:numId="10">
    <w:abstractNumId w:val="10"/>
    <w:lvlOverride w:ilvl="0">
      <w:startOverride w:val="1"/>
    </w:lvlOverride>
  </w:num>
  <w:num w:numId="11">
    <w:abstractNumId w:val="1"/>
    <w:lvlOverride w:ilvl="0">
      <w:startOverride w:val="1"/>
    </w:lvlOverride>
  </w:num>
  <w:num w:numId="12">
    <w:abstractNumId w:val="14"/>
  </w:num>
  <w:num w:numId="13">
    <w:abstractNumId w:val="3"/>
  </w:num>
  <w:num w:numId="14">
    <w:abstractNumId w:val="7"/>
  </w:num>
  <w:num w:numId="15">
    <w:abstractNumId w:val="9"/>
  </w:num>
  <w:num w:numId="1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hideSpellingErrors/>
  <w:proofState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A7761"/>
    <w:rsid w:val="00033F5A"/>
    <w:rsid w:val="00230278"/>
    <w:rsid w:val="003C1FDD"/>
    <w:rsid w:val="00444076"/>
    <w:rsid w:val="00931351"/>
    <w:rsid w:val="00CC24B5"/>
    <w:rsid w:val="00EA4A28"/>
    <w:rsid w:val="00FA776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90B4B46"/>
  <w15:chartTrackingRefBased/>
  <w15:docId w15:val="{70380462-B0BE-4A82-8F71-A797F40DF8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931351"/>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931351"/>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FA7761"/>
    <w:pPr>
      <w:tabs>
        <w:tab w:val="center" w:pos="4680"/>
        <w:tab w:val="right" w:pos="9360"/>
      </w:tabs>
      <w:spacing w:after="0" w:line="240" w:lineRule="auto"/>
    </w:pPr>
  </w:style>
  <w:style w:type="character" w:customStyle="1" w:styleId="HeaderChar">
    <w:name w:val="Header Char"/>
    <w:basedOn w:val="DefaultParagraphFont"/>
    <w:link w:val="Header"/>
    <w:uiPriority w:val="99"/>
    <w:rsid w:val="00FA7761"/>
  </w:style>
  <w:style w:type="paragraph" w:styleId="Footer">
    <w:name w:val="footer"/>
    <w:basedOn w:val="Normal"/>
    <w:link w:val="FooterChar"/>
    <w:uiPriority w:val="99"/>
    <w:unhideWhenUsed/>
    <w:rsid w:val="00FA7761"/>
    <w:pPr>
      <w:tabs>
        <w:tab w:val="center" w:pos="4680"/>
        <w:tab w:val="right" w:pos="9360"/>
      </w:tabs>
      <w:spacing w:after="0" w:line="240" w:lineRule="auto"/>
    </w:pPr>
  </w:style>
  <w:style w:type="character" w:customStyle="1" w:styleId="FooterChar">
    <w:name w:val="Footer Char"/>
    <w:basedOn w:val="DefaultParagraphFont"/>
    <w:link w:val="Footer"/>
    <w:uiPriority w:val="99"/>
    <w:rsid w:val="00FA7761"/>
  </w:style>
  <w:style w:type="paragraph" w:styleId="NormalWeb">
    <w:name w:val="Normal (Web)"/>
    <w:basedOn w:val="Normal"/>
    <w:uiPriority w:val="99"/>
    <w:unhideWhenUsed/>
    <w:rsid w:val="00EA4A28"/>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Heading1Char">
    <w:name w:val="Heading 1 Char"/>
    <w:basedOn w:val="DefaultParagraphFont"/>
    <w:link w:val="Heading1"/>
    <w:uiPriority w:val="9"/>
    <w:rsid w:val="00931351"/>
    <w:rPr>
      <w:rFonts w:asciiTheme="majorHAnsi" w:eastAsiaTheme="majorEastAsia" w:hAnsiTheme="majorHAnsi" w:cstheme="majorBidi"/>
      <w:color w:val="2F5496" w:themeColor="accent1" w:themeShade="BF"/>
      <w:sz w:val="32"/>
      <w:szCs w:val="32"/>
    </w:rPr>
  </w:style>
  <w:style w:type="paragraph" w:styleId="ListParagraph">
    <w:name w:val="List Paragraph"/>
    <w:basedOn w:val="Normal"/>
    <w:uiPriority w:val="34"/>
    <w:qFormat/>
    <w:rsid w:val="00931351"/>
    <w:pPr>
      <w:ind w:left="720"/>
      <w:contextualSpacing/>
    </w:pPr>
  </w:style>
  <w:style w:type="character" w:customStyle="1" w:styleId="Heading2Char">
    <w:name w:val="Heading 2 Char"/>
    <w:basedOn w:val="DefaultParagraphFont"/>
    <w:link w:val="Heading2"/>
    <w:uiPriority w:val="9"/>
    <w:rsid w:val="00931351"/>
    <w:rPr>
      <w:rFonts w:asciiTheme="majorHAnsi" w:eastAsiaTheme="majorEastAsia" w:hAnsiTheme="majorHAnsi" w:cstheme="majorBidi"/>
      <w:color w:val="2F5496" w:themeColor="accent1" w:themeShade="BF"/>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45055739">
      <w:bodyDiv w:val="1"/>
      <w:marLeft w:val="0"/>
      <w:marRight w:val="0"/>
      <w:marTop w:val="0"/>
      <w:marBottom w:val="0"/>
      <w:divBdr>
        <w:top w:val="none" w:sz="0" w:space="0" w:color="auto"/>
        <w:left w:val="none" w:sz="0" w:space="0" w:color="auto"/>
        <w:bottom w:val="none" w:sz="0" w:space="0" w:color="auto"/>
        <w:right w:val="none" w:sz="0" w:space="0" w:color="auto"/>
      </w:divBdr>
      <w:divsChild>
        <w:div w:id="569196829">
          <w:marLeft w:val="0"/>
          <w:marRight w:val="0"/>
          <w:marTop w:val="0"/>
          <w:marBottom w:val="0"/>
          <w:divBdr>
            <w:top w:val="none" w:sz="0" w:space="0" w:color="auto"/>
            <w:left w:val="none" w:sz="0" w:space="0" w:color="auto"/>
            <w:bottom w:val="none" w:sz="0" w:space="0" w:color="auto"/>
            <w:right w:val="none" w:sz="0" w:space="0" w:color="auto"/>
          </w:divBdr>
        </w:div>
      </w:divsChild>
    </w:div>
    <w:div w:id="489909918">
      <w:bodyDiv w:val="1"/>
      <w:marLeft w:val="0"/>
      <w:marRight w:val="0"/>
      <w:marTop w:val="0"/>
      <w:marBottom w:val="0"/>
      <w:divBdr>
        <w:top w:val="none" w:sz="0" w:space="0" w:color="auto"/>
        <w:left w:val="none" w:sz="0" w:space="0" w:color="auto"/>
        <w:bottom w:val="none" w:sz="0" w:space="0" w:color="auto"/>
        <w:right w:val="none" w:sz="0" w:space="0" w:color="auto"/>
      </w:divBdr>
      <w:divsChild>
        <w:div w:id="938948723">
          <w:marLeft w:val="0"/>
          <w:marRight w:val="0"/>
          <w:marTop w:val="0"/>
          <w:marBottom w:val="0"/>
          <w:divBdr>
            <w:top w:val="none" w:sz="0" w:space="0" w:color="auto"/>
            <w:left w:val="none" w:sz="0" w:space="0" w:color="auto"/>
            <w:bottom w:val="none" w:sz="0" w:space="0" w:color="auto"/>
            <w:right w:val="none" w:sz="0" w:space="0" w:color="auto"/>
          </w:divBdr>
        </w:div>
      </w:divsChild>
    </w:div>
    <w:div w:id="2088379951">
      <w:bodyDiv w:val="1"/>
      <w:marLeft w:val="0"/>
      <w:marRight w:val="0"/>
      <w:marTop w:val="0"/>
      <w:marBottom w:val="0"/>
      <w:divBdr>
        <w:top w:val="none" w:sz="0" w:space="0" w:color="auto"/>
        <w:left w:val="none" w:sz="0" w:space="0" w:color="auto"/>
        <w:bottom w:val="none" w:sz="0" w:space="0" w:color="auto"/>
        <w:right w:val="none" w:sz="0" w:space="0" w:color="auto"/>
      </w:divBdr>
      <w:divsChild>
        <w:div w:id="106957499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emf"/><Relationship Id="rId18" Type="http://schemas.openxmlformats.org/officeDocument/2006/relationships/image" Target="media/image12.png"/><Relationship Id="rId26" Type="http://schemas.openxmlformats.org/officeDocument/2006/relationships/image" Target="media/image20.png"/><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emf"/><Relationship Id="rId12" Type="http://schemas.openxmlformats.org/officeDocument/2006/relationships/image" Target="media/image6.emf"/><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emf"/><Relationship Id="rId24" Type="http://schemas.openxmlformats.org/officeDocument/2006/relationships/image" Target="media/image18.png"/><Relationship Id="rId32"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10" Type="http://schemas.openxmlformats.org/officeDocument/2006/relationships/image" Target="media/image4.emf"/><Relationship Id="rId19" Type="http://schemas.openxmlformats.org/officeDocument/2006/relationships/image" Target="media/image13.png"/><Relationship Id="rId31"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8"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56</TotalTime>
  <Pages>34</Pages>
  <Words>7184</Words>
  <Characters>40952</Characters>
  <Application>Microsoft Office Word</Application>
  <DocSecurity>0</DocSecurity>
  <Lines>341</Lines>
  <Paragraphs>96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48040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ANRE</dc:creator>
  <cp:keywords/>
  <dc:description/>
  <cp:lastModifiedBy>ANRE</cp:lastModifiedBy>
  <cp:revision>2</cp:revision>
  <dcterms:created xsi:type="dcterms:W3CDTF">2026-06-19T09:01:00Z</dcterms:created>
  <dcterms:modified xsi:type="dcterms:W3CDTF">2026-06-19T10:01:00Z</dcterms:modified>
</cp:coreProperties>
</file>